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CE97D" w14:textId="77777777" w:rsidR="008263B3" w:rsidRPr="00D92C63" w:rsidRDefault="008263B3" w:rsidP="008263B3">
      <w:pPr>
        <w:rPr>
          <w:rFonts w:ascii="Arial" w:hAnsi="Arial" w:cs="Arial"/>
        </w:rPr>
      </w:pPr>
    </w:p>
    <w:p w14:paraId="148642DE" w14:textId="77777777" w:rsidR="008263B3" w:rsidRPr="00D92C63" w:rsidRDefault="002600EF" w:rsidP="008263B3">
      <w:pPr>
        <w:rPr>
          <w:rFonts w:ascii="Arial" w:hAnsi="Arial" w:cs="Arial"/>
        </w:rPr>
      </w:pPr>
      <w:r w:rsidRPr="00D92C63">
        <w:rPr>
          <w:rFonts w:ascii="Arial" w:hAnsi="Arial" w:cs="Arial"/>
          <w:noProof/>
          <w:lang w:eastAsia="en-GB"/>
        </w:rPr>
        <w:drawing>
          <wp:anchor distT="0" distB="0" distL="114300" distR="114300" simplePos="0" relativeHeight="251658240" behindDoc="1" locked="0" layoutInCell="1" allowOverlap="1" wp14:anchorId="281631F6" wp14:editId="768778D0">
            <wp:simplePos x="0" y="0"/>
            <wp:positionH relativeFrom="margin">
              <wp:align>center</wp:align>
            </wp:positionH>
            <wp:positionV relativeFrom="margin">
              <wp:posOffset>542925</wp:posOffset>
            </wp:positionV>
            <wp:extent cx="2773045" cy="2962275"/>
            <wp:effectExtent l="0" t="0" r="825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3045" cy="2962275"/>
                    </a:xfrm>
                    <a:prstGeom prst="rect">
                      <a:avLst/>
                    </a:prstGeom>
                    <a:noFill/>
                  </pic:spPr>
                </pic:pic>
              </a:graphicData>
            </a:graphic>
            <wp14:sizeRelH relativeFrom="margin">
              <wp14:pctWidth>0</wp14:pctWidth>
            </wp14:sizeRelH>
            <wp14:sizeRelV relativeFrom="margin">
              <wp14:pctHeight>0</wp14:pctHeight>
            </wp14:sizeRelV>
          </wp:anchor>
        </w:drawing>
      </w:r>
    </w:p>
    <w:p w14:paraId="7DC00C0C" w14:textId="77777777" w:rsidR="008263B3" w:rsidRPr="00D92C63" w:rsidRDefault="008263B3" w:rsidP="008263B3">
      <w:pPr>
        <w:rPr>
          <w:rFonts w:ascii="Arial" w:hAnsi="Arial" w:cs="Arial"/>
        </w:rPr>
      </w:pPr>
    </w:p>
    <w:p w14:paraId="4B9B1A8D" w14:textId="77777777" w:rsidR="008263B3" w:rsidRPr="00D92C63" w:rsidRDefault="008263B3" w:rsidP="008263B3">
      <w:pPr>
        <w:rPr>
          <w:rFonts w:ascii="Arial" w:hAnsi="Arial" w:cs="Arial"/>
        </w:rPr>
      </w:pPr>
    </w:p>
    <w:p w14:paraId="1856662C" w14:textId="77777777" w:rsidR="008263B3" w:rsidRPr="00D92C63" w:rsidRDefault="008263B3" w:rsidP="008263B3">
      <w:pPr>
        <w:rPr>
          <w:rFonts w:ascii="Arial" w:hAnsi="Arial" w:cs="Arial"/>
        </w:rPr>
      </w:pPr>
    </w:p>
    <w:p w14:paraId="459A5C62" w14:textId="77777777" w:rsidR="008263B3" w:rsidRPr="00D92C63" w:rsidRDefault="008263B3" w:rsidP="008263B3">
      <w:pPr>
        <w:rPr>
          <w:rFonts w:ascii="Arial" w:hAnsi="Arial" w:cs="Arial"/>
        </w:rPr>
      </w:pPr>
    </w:p>
    <w:p w14:paraId="4DD6F07F" w14:textId="77777777" w:rsidR="008263B3" w:rsidRPr="00D92C63" w:rsidRDefault="008263B3" w:rsidP="008263B3">
      <w:pPr>
        <w:rPr>
          <w:rFonts w:ascii="Arial" w:hAnsi="Arial" w:cs="Arial"/>
        </w:rPr>
      </w:pPr>
    </w:p>
    <w:p w14:paraId="49D50A42" w14:textId="77777777" w:rsidR="008263B3" w:rsidRPr="00D92C63" w:rsidRDefault="008263B3" w:rsidP="008263B3">
      <w:pPr>
        <w:rPr>
          <w:rFonts w:ascii="Arial" w:hAnsi="Arial" w:cs="Arial"/>
        </w:rPr>
      </w:pPr>
    </w:p>
    <w:p w14:paraId="0CF762D1" w14:textId="77777777" w:rsidR="008263B3" w:rsidRPr="00D92C63" w:rsidRDefault="008263B3" w:rsidP="008263B3">
      <w:pPr>
        <w:rPr>
          <w:rFonts w:ascii="Arial" w:hAnsi="Arial" w:cs="Arial"/>
        </w:rPr>
      </w:pPr>
    </w:p>
    <w:p w14:paraId="0996A16E" w14:textId="77777777" w:rsidR="008263B3" w:rsidRPr="00D92C63" w:rsidRDefault="008263B3" w:rsidP="008263B3">
      <w:pPr>
        <w:rPr>
          <w:rFonts w:ascii="Arial" w:hAnsi="Arial" w:cs="Arial"/>
        </w:rPr>
      </w:pPr>
    </w:p>
    <w:p w14:paraId="72BBA098" w14:textId="77777777" w:rsidR="008263B3" w:rsidRPr="00D92C63" w:rsidRDefault="008263B3" w:rsidP="008263B3">
      <w:pPr>
        <w:rPr>
          <w:rFonts w:ascii="Arial" w:hAnsi="Arial" w:cs="Arial"/>
        </w:rPr>
      </w:pPr>
    </w:p>
    <w:p w14:paraId="230CEACB" w14:textId="77777777" w:rsidR="008263B3" w:rsidRDefault="008263B3" w:rsidP="008263B3">
      <w:pPr>
        <w:rPr>
          <w:rFonts w:ascii="Arial" w:hAnsi="Arial" w:cs="Arial"/>
        </w:rPr>
      </w:pPr>
    </w:p>
    <w:p w14:paraId="41984616" w14:textId="77777777" w:rsidR="008263B3" w:rsidRDefault="008263B3" w:rsidP="008263B3">
      <w:pPr>
        <w:rPr>
          <w:rFonts w:ascii="Arial" w:hAnsi="Arial" w:cs="Arial"/>
        </w:rPr>
      </w:pPr>
    </w:p>
    <w:p w14:paraId="09C599C1" w14:textId="77777777" w:rsidR="008263B3" w:rsidRPr="00D92C63" w:rsidRDefault="008263B3" w:rsidP="008263B3">
      <w:pPr>
        <w:rPr>
          <w:rFonts w:ascii="Arial" w:hAnsi="Arial" w:cs="Arial"/>
        </w:rPr>
      </w:pPr>
    </w:p>
    <w:p w14:paraId="7CA839D5" w14:textId="77777777" w:rsidR="008263B3" w:rsidRPr="00D92C63" w:rsidRDefault="008263B3" w:rsidP="008263B3">
      <w:pPr>
        <w:rPr>
          <w:rFonts w:ascii="Arial" w:hAnsi="Arial" w:cs="Arial"/>
        </w:rPr>
      </w:pPr>
    </w:p>
    <w:p w14:paraId="5CBF8D79" w14:textId="0D08CB26" w:rsidR="008263B3" w:rsidRDefault="00B80A06" w:rsidP="008263B3">
      <w:pPr>
        <w:jc w:val="center"/>
        <w:rPr>
          <w:rFonts w:cstheme="minorHAnsi"/>
          <w:b/>
          <w:bCs/>
          <w:sz w:val="52"/>
          <w:szCs w:val="52"/>
        </w:rPr>
      </w:pPr>
      <w:r>
        <w:rPr>
          <w:rFonts w:cstheme="minorHAnsi"/>
          <w:b/>
          <w:bCs/>
          <w:sz w:val="52"/>
          <w:szCs w:val="52"/>
        </w:rPr>
        <w:t>GENDER PAY GAP REPORT</w:t>
      </w:r>
    </w:p>
    <w:p w14:paraId="256623D5" w14:textId="6CB3098B" w:rsidR="00B80A06" w:rsidRDefault="00B80A06" w:rsidP="008263B3">
      <w:pPr>
        <w:jc w:val="center"/>
        <w:rPr>
          <w:rFonts w:cstheme="minorHAnsi"/>
          <w:b/>
          <w:bCs/>
          <w:sz w:val="52"/>
          <w:szCs w:val="52"/>
        </w:rPr>
      </w:pPr>
      <w:r>
        <w:rPr>
          <w:rFonts w:cstheme="minorHAnsi"/>
          <w:b/>
          <w:bCs/>
          <w:sz w:val="52"/>
          <w:szCs w:val="52"/>
        </w:rPr>
        <w:t>20</w:t>
      </w:r>
      <w:r w:rsidR="00145DBF">
        <w:rPr>
          <w:rFonts w:cstheme="minorHAnsi"/>
          <w:b/>
          <w:bCs/>
          <w:sz w:val="52"/>
          <w:szCs w:val="52"/>
        </w:rPr>
        <w:t>2</w:t>
      </w:r>
      <w:r w:rsidR="002B197C">
        <w:rPr>
          <w:rFonts w:cstheme="minorHAnsi"/>
          <w:b/>
          <w:bCs/>
          <w:sz w:val="52"/>
          <w:szCs w:val="52"/>
        </w:rPr>
        <w:t>3</w:t>
      </w:r>
      <w:r>
        <w:rPr>
          <w:rFonts w:cstheme="minorHAnsi"/>
          <w:b/>
          <w:bCs/>
          <w:sz w:val="52"/>
          <w:szCs w:val="52"/>
        </w:rPr>
        <w:t>/202</w:t>
      </w:r>
      <w:r w:rsidR="002B197C">
        <w:rPr>
          <w:rFonts w:cstheme="minorHAnsi"/>
          <w:b/>
          <w:bCs/>
          <w:sz w:val="52"/>
          <w:szCs w:val="52"/>
        </w:rPr>
        <w:t>4</w:t>
      </w:r>
    </w:p>
    <w:p w14:paraId="6CAE9B70" w14:textId="7486071E" w:rsidR="00B80A06" w:rsidRPr="00EE4DBB" w:rsidRDefault="00B80A06" w:rsidP="008263B3">
      <w:pPr>
        <w:jc w:val="center"/>
        <w:rPr>
          <w:rFonts w:cstheme="minorHAnsi"/>
          <w:b/>
          <w:bCs/>
          <w:sz w:val="52"/>
          <w:szCs w:val="52"/>
        </w:rPr>
      </w:pPr>
      <w:r>
        <w:rPr>
          <w:rFonts w:cstheme="minorHAnsi"/>
          <w:b/>
          <w:bCs/>
          <w:sz w:val="52"/>
          <w:szCs w:val="52"/>
        </w:rPr>
        <w:t>ENHANCE ACADEMY TRUST</w:t>
      </w:r>
    </w:p>
    <w:p w14:paraId="3BA346C8" w14:textId="77777777" w:rsidR="008263B3" w:rsidRPr="00D92C63" w:rsidRDefault="008263B3" w:rsidP="008263B3">
      <w:pPr>
        <w:jc w:val="center"/>
        <w:rPr>
          <w:rFonts w:ascii="Arial" w:hAnsi="Arial" w:cs="Arial"/>
        </w:rPr>
      </w:pPr>
    </w:p>
    <w:p w14:paraId="01DF28BF" w14:textId="77777777" w:rsidR="008263B3" w:rsidRPr="00D92C63" w:rsidRDefault="008263B3" w:rsidP="008263B3">
      <w:pPr>
        <w:jc w:val="center"/>
        <w:rPr>
          <w:rFonts w:ascii="Arial" w:hAnsi="Arial" w:cs="Arial"/>
        </w:rPr>
      </w:pPr>
    </w:p>
    <w:p w14:paraId="692AE2CD" w14:textId="77777777" w:rsidR="008263B3" w:rsidRPr="00D92C63" w:rsidRDefault="008263B3" w:rsidP="008263B3">
      <w:pPr>
        <w:jc w:val="center"/>
        <w:rPr>
          <w:rFonts w:ascii="Arial" w:hAnsi="Arial" w:cs="Arial"/>
        </w:rPr>
      </w:pPr>
    </w:p>
    <w:p w14:paraId="2D4BD441" w14:textId="77777777" w:rsidR="008263B3" w:rsidRPr="00D92C63" w:rsidRDefault="008263B3" w:rsidP="008263B3">
      <w:pPr>
        <w:jc w:val="right"/>
        <w:rPr>
          <w:rFonts w:ascii="Arial" w:hAnsi="Arial" w:cs="Arial"/>
        </w:rPr>
      </w:pPr>
    </w:p>
    <w:p w14:paraId="511A7CCE" w14:textId="77777777" w:rsidR="008263B3" w:rsidRPr="00D92C63" w:rsidRDefault="008263B3" w:rsidP="008263B3">
      <w:pPr>
        <w:jc w:val="right"/>
        <w:rPr>
          <w:rFonts w:ascii="Arial" w:hAnsi="Arial" w:cs="Arial"/>
        </w:rPr>
      </w:pPr>
    </w:p>
    <w:tbl>
      <w:tblPr>
        <w:tblW w:w="9720" w:type="dxa"/>
        <w:jc w:val="center"/>
        <w:tblCellMar>
          <w:left w:w="10" w:type="dxa"/>
          <w:right w:w="10" w:type="dxa"/>
        </w:tblCellMar>
        <w:tblLook w:val="04A0" w:firstRow="1" w:lastRow="0" w:firstColumn="1" w:lastColumn="0" w:noHBand="0" w:noVBand="1"/>
      </w:tblPr>
      <w:tblGrid>
        <w:gridCol w:w="1560"/>
        <w:gridCol w:w="4961"/>
        <w:gridCol w:w="3199"/>
      </w:tblGrid>
      <w:tr w:rsidR="00EE4DBB" w:rsidRPr="004F1EF9" w14:paraId="7D20DCDD" w14:textId="77777777" w:rsidTr="004C2074">
        <w:trPr>
          <w:jc w:val="center"/>
        </w:trPr>
        <w:tc>
          <w:tcPr>
            <w:tcW w:w="1560" w:type="dxa"/>
            <w:tcBorders>
              <w:bottom w:val="single" w:sz="18" w:space="0" w:color="FFFFFF"/>
            </w:tcBorders>
            <w:shd w:val="clear" w:color="auto" w:fill="D8DFDE"/>
            <w:tcMar>
              <w:top w:w="57" w:type="dxa"/>
              <w:left w:w="108" w:type="dxa"/>
              <w:bottom w:w="57" w:type="dxa"/>
              <w:right w:w="108" w:type="dxa"/>
            </w:tcMar>
          </w:tcPr>
          <w:p w14:paraId="0032D7B6" w14:textId="77777777" w:rsidR="00EE4DBB" w:rsidRPr="004F1EF9" w:rsidRDefault="00EE4DBB" w:rsidP="00EE4DBB">
            <w:pPr>
              <w:jc w:val="both"/>
              <w:rPr>
                <w:rFonts w:eastAsia="MS Mincho" w:cstheme="minorHAnsi"/>
                <w:b/>
              </w:rPr>
            </w:pPr>
            <w:r w:rsidRPr="004F1EF9">
              <w:rPr>
                <w:rFonts w:eastAsia="MS Mincho" w:cstheme="minorHAnsi"/>
                <w:b/>
              </w:rPr>
              <w:t>Approved by:</w:t>
            </w:r>
          </w:p>
        </w:tc>
        <w:tc>
          <w:tcPr>
            <w:tcW w:w="4961" w:type="dxa"/>
            <w:tcBorders>
              <w:bottom w:val="single" w:sz="18" w:space="0" w:color="FFFFFF"/>
            </w:tcBorders>
            <w:shd w:val="clear" w:color="auto" w:fill="D8DFDE"/>
            <w:tcMar>
              <w:top w:w="57" w:type="dxa"/>
              <w:left w:w="108" w:type="dxa"/>
              <w:bottom w:w="57" w:type="dxa"/>
              <w:right w:w="108" w:type="dxa"/>
            </w:tcMar>
          </w:tcPr>
          <w:p w14:paraId="398A11AC" w14:textId="6B07BA36" w:rsidR="00EE4DBB" w:rsidRPr="004C2074" w:rsidRDefault="002B197C" w:rsidP="004C2074">
            <w:pPr>
              <w:jc w:val="both"/>
              <w:rPr>
                <w:rFonts w:eastAsia="MS Mincho" w:cstheme="minorHAnsi"/>
                <w:bCs/>
              </w:rPr>
            </w:pPr>
            <w:r>
              <w:rPr>
                <w:rFonts w:eastAsia="MS Mincho" w:cstheme="minorHAnsi"/>
                <w:bCs/>
              </w:rPr>
              <w:t>Finance, Audit &amp; Risk Committee</w:t>
            </w:r>
          </w:p>
        </w:tc>
        <w:tc>
          <w:tcPr>
            <w:tcW w:w="3199" w:type="dxa"/>
            <w:tcBorders>
              <w:bottom w:val="single" w:sz="18" w:space="0" w:color="FFFFFF"/>
            </w:tcBorders>
            <w:shd w:val="clear" w:color="auto" w:fill="D8DFDE"/>
            <w:tcMar>
              <w:top w:w="57" w:type="dxa"/>
              <w:left w:w="108" w:type="dxa"/>
              <w:bottom w:w="57" w:type="dxa"/>
              <w:right w:w="108" w:type="dxa"/>
            </w:tcMar>
          </w:tcPr>
          <w:p w14:paraId="00D4C1F1" w14:textId="3940375F" w:rsidR="00EE4DBB" w:rsidRPr="004C2074" w:rsidRDefault="00EE4DBB" w:rsidP="009468FD">
            <w:pPr>
              <w:ind w:right="850"/>
              <w:jc w:val="both"/>
              <w:rPr>
                <w:rFonts w:cstheme="minorHAnsi"/>
              </w:rPr>
            </w:pPr>
            <w:r w:rsidRPr="004C2074">
              <w:rPr>
                <w:rFonts w:eastAsia="MS Mincho" w:cstheme="minorHAnsi"/>
                <w:b/>
              </w:rPr>
              <w:t>Date:</w:t>
            </w:r>
            <w:r w:rsidRPr="004C2074">
              <w:rPr>
                <w:rFonts w:eastAsia="MS Mincho" w:cstheme="minorHAnsi"/>
              </w:rPr>
              <w:t xml:space="preserve"> </w:t>
            </w:r>
            <w:r w:rsidR="005C546C">
              <w:rPr>
                <w:rFonts w:eastAsia="MS Mincho" w:cstheme="minorHAnsi"/>
              </w:rPr>
              <w:t>March</w:t>
            </w:r>
            <w:r w:rsidR="00145DBF">
              <w:rPr>
                <w:rFonts w:eastAsia="MS Mincho" w:cstheme="minorHAnsi"/>
              </w:rPr>
              <w:t xml:space="preserve"> 202</w:t>
            </w:r>
            <w:r w:rsidR="00775D8D">
              <w:rPr>
                <w:rFonts w:eastAsia="MS Mincho" w:cstheme="minorHAnsi"/>
              </w:rPr>
              <w:t>5</w:t>
            </w:r>
          </w:p>
        </w:tc>
      </w:tr>
    </w:tbl>
    <w:p w14:paraId="2469D7A9" w14:textId="77777777" w:rsidR="008263B3" w:rsidRPr="00D92C63" w:rsidRDefault="008263B3" w:rsidP="008263B3">
      <w:pPr>
        <w:jc w:val="right"/>
        <w:rPr>
          <w:rFonts w:ascii="Arial" w:hAnsi="Arial" w:cs="Arial"/>
        </w:rPr>
      </w:pPr>
    </w:p>
    <w:p w14:paraId="0B834158" w14:textId="4CDDE760" w:rsidR="00B80A06" w:rsidRDefault="00B80A06">
      <w:pPr>
        <w:rPr>
          <w:rFonts w:ascii="Arial" w:hAnsi="Arial" w:cs="Arial"/>
        </w:rPr>
      </w:pPr>
      <w:r>
        <w:rPr>
          <w:rFonts w:ascii="Arial" w:hAnsi="Arial" w:cs="Arial"/>
        </w:rPr>
        <w:br w:type="page"/>
      </w:r>
    </w:p>
    <w:sdt>
      <w:sdtPr>
        <w:rPr>
          <w:rFonts w:asciiTheme="minorHAnsi" w:eastAsiaTheme="minorHAnsi" w:hAnsiTheme="minorHAnsi" w:cstheme="minorBidi"/>
          <w:color w:val="auto"/>
          <w:sz w:val="22"/>
          <w:szCs w:val="22"/>
          <w:lang w:val="en-GB"/>
        </w:rPr>
        <w:id w:val="-832141863"/>
        <w:docPartObj>
          <w:docPartGallery w:val="Table of Contents"/>
          <w:docPartUnique/>
        </w:docPartObj>
      </w:sdtPr>
      <w:sdtEndPr>
        <w:rPr>
          <w:b/>
          <w:bCs/>
          <w:noProof/>
        </w:rPr>
      </w:sdtEndPr>
      <w:sdtContent>
        <w:p w14:paraId="2F41DF24" w14:textId="7BA50DB0" w:rsidR="00B80A06" w:rsidRPr="00B5268C" w:rsidRDefault="00B80A06">
          <w:pPr>
            <w:pStyle w:val="TOCHeading"/>
            <w:rPr>
              <w:b/>
              <w:bCs/>
              <w:color w:val="70AD47" w:themeColor="accent6"/>
              <w:sz w:val="24"/>
              <w:szCs w:val="24"/>
              <w:u w:val="single"/>
            </w:rPr>
          </w:pPr>
          <w:r w:rsidRPr="00B5268C">
            <w:rPr>
              <w:b/>
              <w:bCs/>
              <w:color w:val="70AD47" w:themeColor="accent6"/>
              <w:sz w:val="24"/>
              <w:szCs w:val="24"/>
              <w:u w:val="single"/>
            </w:rPr>
            <w:t>Contents</w:t>
          </w:r>
        </w:p>
        <w:p w14:paraId="52AF6421" w14:textId="7FD2BD5F" w:rsidR="002C0936" w:rsidRDefault="00B80A06">
          <w:pPr>
            <w:pStyle w:val="TOC1"/>
            <w:tabs>
              <w:tab w:val="right" w:leader="dot" w:pos="9488"/>
            </w:tabs>
            <w:rPr>
              <w:rFonts w:eastAsiaTheme="minorEastAsia"/>
              <w:noProof/>
              <w:lang w:eastAsia="en-GB"/>
            </w:rPr>
          </w:pPr>
          <w:r>
            <w:fldChar w:fldCharType="begin"/>
          </w:r>
          <w:r>
            <w:instrText xml:space="preserve"> TOC \o "1-3" \h \z \u </w:instrText>
          </w:r>
          <w:r>
            <w:fldChar w:fldCharType="separate"/>
          </w:r>
          <w:hyperlink w:anchor="_Toc83970635" w:history="1">
            <w:r w:rsidR="002C0936" w:rsidRPr="005D4338">
              <w:rPr>
                <w:rStyle w:val="Hyperlink"/>
                <w:noProof/>
              </w:rPr>
              <w:t>Introduction</w:t>
            </w:r>
            <w:r w:rsidR="002C0936">
              <w:rPr>
                <w:noProof/>
                <w:webHidden/>
              </w:rPr>
              <w:tab/>
            </w:r>
            <w:r w:rsidR="002C0936">
              <w:rPr>
                <w:noProof/>
                <w:webHidden/>
              </w:rPr>
              <w:fldChar w:fldCharType="begin"/>
            </w:r>
            <w:r w:rsidR="002C0936">
              <w:rPr>
                <w:noProof/>
                <w:webHidden/>
              </w:rPr>
              <w:instrText xml:space="preserve"> PAGEREF _Toc83970635 \h </w:instrText>
            </w:r>
            <w:r w:rsidR="002C0936">
              <w:rPr>
                <w:noProof/>
                <w:webHidden/>
              </w:rPr>
            </w:r>
            <w:r w:rsidR="002C0936">
              <w:rPr>
                <w:noProof/>
                <w:webHidden/>
              </w:rPr>
              <w:fldChar w:fldCharType="separate"/>
            </w:r>
            <w:r w:rsidR="00201777">
              <w:rPr>
                <w:noProof/>
                <w:webHidden/>
              </w:rPr>
              <w:t>3</w:t>
            </w:r>
            <w:r w:rsidR="002C0936">
              <w:rPr>
                <w:noProof/>
                <w:webHidden/>
              </w:rPr>
              <w:fldChar w:fldCharType="end"/>
            </w:r>
          </w:hyperlink>
        </w:p>
        <w:p w14:paraId="2DA12141" w14:textId="259D49D2" w:rsidR="002C0936" w:rsidRDefault="00EA31D3">
          <w:pPr>
            <w:pStyle w:val="TOC1"/>
            <w:tabs>
              <w:tab w:val="right" w:leader="dot" w:pos="9488"/>
            </w:tabs>
            <w:rPr>
              <w:rFonts w:eastAsiaTheme="minorEastAsia"/>
              <w:noProof/>
              <w:lang w:eastAsia="en-GB"/>
            </w:rPr>
          </w:pPr>
          <w:hyperlink w:anchor="_Toc83970636" w:history="1">
            <w:r w:rsidR="002C0936" w:rsidRPr="005D4338">
              <w:rPr>
                <w:rStyle w:val="Hyperlink"/>
                <w:noProof/>
              </w:rPr>
              <w:t>Methodology</w:t>
            </w:r>
            <w:r w:rsidR="002C0936">
              <w:rPr>
                <w:noProof/>
                <w:webHidden/>
              </w:rPr>
              <w:tab/>
            </w:r>
            <w:r w:rsidR="002C0936">
              <w:rPr>
                <w:noProof/>
                <w:webHidden/>
              </w:rPr>
              <w:fldChar w:fldCharType="begin"/>
            </w:r>
            <w:r w:rsidR="002C0936">
              <w:rPr>
                <w:noProof/>
                <w:webHidden/>
              </w:rPr>
              <w:instrText xml:space="preserve"> PAGEREF _Toc83970636 \h </w:instrText>
            </w:r>
            <w:r w:rsidR="002C0936">
              <w:rPr>
                <w:noProof/>
                <w:webHidden/>
              </w:rPr>
            </w:r>
            <w:r w:rsidR="002C0936">
              <w:rPr>
                <w:noProof/>
                <w:webHidden/>
              </w:rPr>
              <w:fldChar w:fldCharType="separate"/>
            </w:r>
            <w:r w:rsidR="00201777">
              <w:rPr>
                <w:noProof/>
                <w:webHidden/>
              </w:rPr>
              <w:t>4</w:t>
            </w:r>
            <w:r w:rsidR="002C0936">
              <w:rPr>
                <w:noProof/>
                <w:webHidden/>
              </w:rPr>
              <w:fldChar w:fldCharType="end"/>
            </w:r>
          </w:hyperlink>
        </w:p>
        <w:p w14:paraId="1985773C" w14:textId="2B594E92" w:rsidR="002C0936" w:rsidRDefault="00EA31D3">
          <w:pPr>
            <w:pStyle w:val="TOC1"/>
            <w:tabs>
              <w:tab w:val="right" w:leader="dot" w:pos="9488"/>
            </w:tabs>
            <w:rPr>
              <w:rFonts w:eastAsiaTheme="minorEastAsia"/>
              <w:noProof/>
              <w:lang w:eastAsia="en-GB"/>
            </w:rPr>
          </w:pPr>
          <w:hyperlink w:anchor="_Toc83970637" w:history="1">
            <w:r w:rsidR="002C0936" w:rsidRPr="005D4338">
              <w:rPr>
                <w:rStyle w:val="Hyperlink"/>
                <w:noProof/>
              </w:rPr>
              <w:t>Relevant employees</w:t>
            </w:r>
            <w:r w:rsidR="002C0936">
              <w:rPr>
                <w:noProof/>
                <w:webHidden/>
              </w:rPr>
              <w:tab/>
            </w:r>
            <w:r w:rsidR="002C0936">
              <w:rPr>
                <w:noProof/>
                <w:webHidden/>
              </w:rPr>
              <w:fldChar w:fldCharType="begin"/>
            </w:r>
            <w:r w:rsidR="002C0936">
              <w:rPr>
                <w:noProof/>
                <w:webHidden/>
              </w:rPr>
              <w:instrText xml:space="preserve"> PAGEREF _Toc83970637 \h </w:instrText>
            </w:r>
            <w:r w:rsidR="002C0936">
              <w:rPr>
                <w:noProof/>
                <w:webHidden/>
              </w:rPr>
            </w:r>
            <w:r w:rsidR="002C0936">
              <w:rPr>
                <w:noProof/>
                <w:webHidden/>
              </w:rPr>
              <w:fldChar w:fldCharType="separate"/>
            </w:r>
            <w:r w:rsidR="00201777">
              <w:rPr>
                <w:noProof/>
                <w:webHidden/>
              </w:rPr>
              <w:t>4</w:t>
            </w:r>
            <w:r w:rsidR="002C0936">
              <w:rPr>
                <w:noProof/>
                <w:webHidden/>
              </w:rPr>
              <w:fldChar w:fldCharType="end"/>
            </w:r>
          </w:hyperlink>
        </w:p>
        <w:p w14:paraId="303BEA40" w14:textId="4384AE4E" w:rsidR="002C0936" w:rsidRDefault="00EA31D3">
          <w:pPr>
            <w:pStyle w:val="TOC1"/>
            <w:tabs>
              <w:tab w:val="right" w:leader="dot" w:pos="9488"/>
            </w:tabs>
            <w:rPr>
              <w:rFonts w:eastAsiaTheme="minorEastAsia"/>
              <w:noProof/>
              <w:lang w:eastAsia="en-GB"/>
            </w:rPr>
          </w:pPr>
          <w:hyperlink w:anchor="_Toc83970638" w:history="1">
            <w:r w:rsidR="002C0936" w:rsidRPr="005D4338">
              <w:rPr>
                <w:rStyle w:val="Hyperlink"/>
                <w:noProof/>
              </w:rPr>
              <w:t>Full-pay relevant employees</w:t>
            </w:r>
            <w:r w:rsidR="002C0936">
              <w:rPr>
                <w:noProof/>
                <w:webHidden/>
              </w:rPr>
              <w:tab/>
            </w:r>
            <w:r w:rsidR="002C0936">
              <w:rPr>
                <w:noProof/>
                <w:webHidden/>
              </w:rPr>
              <w:fldChar w:fldCharType="begin"/>
            </w:r>
            <w:r w:rsidR="002C0936">
              <w:rPr>
                <w:noProof/>
                <w:webHidden/>
              </w:rPr>
              <w:instrText xml:space="preserve"> PAGEREF _Toc83970638 \h </w:instrText>
            </w:r>
            <w:r w:rsidR="002C0936">
              <w:rPr>
                <w:noProof/>
                <w:webHidden/>
              </w:rPr>
            </w:r>
            <w:r w:rsidR="002C0936">
              <w:rPr>
                <w:noProof/>
                <w:webHidden/>
              </w:rPr>
              <w:fldChar w:fldCharType="separate"/>
            </w:r>
            <w:r w:rsidR="00201777">
              <w:rPr>
                <w:noProof/>
                <w:webHidden/>
              </w:rPr>
              <w:t>5</w:t>
            </w:r>
            <w:r w:rsidR="002C0936">
              <w:rPr>
                <w:noProof/>
                <w:webHidden/>
              </w:rPr>
              <w:fldChar w:fldCharType="end"/>
            </w:r>
          </w:hyperlink>
        </w:p>
        <w:p w14:paraId="05966E99" w14:textId="60AC3510" w:rsidR="002C0936" w:rsidRDefault="00EA31D3">
          <w:pPr>
            <w:pStyle w:val="TOC1"/>
            <w:tabs>
              <w:tab w:val="right" w:leader="dot" w:pos="9488"/>
            </w:tabs>
            <w:rPr>
              <w:rFonts w:eastAsiaTheme="minorEastAsia"/>
              <w:noProof/>
              <w:lang w:eastAsia="en-GB"/>
            </w:rPr>
          </w:pPr>
          <w:hyperlink w:anchor="_Toc83970639" w:history="1">
            <w:r w:rsidR="002C0936" w:rsidRPr="005D4338">
              <w:rPr>
                <w:rStyle w:val="Hyperlink"/>
                <w:noProof/>
              </w:rPr>
              <w:t>Mean gender pay gap</w:t>
            </w:r>
            <w:r w:rsidR="002C0936">
              <w:rPr>
                <w:noProof/>
                <w:webHidden/>
              </w:rPr>
              <w:tab/>
            </w:r>
            <w:r w:rsidR="002C0936">
              <w:rPr>
                <w:noProof/>
                <w:webHidden/>
              </w:rPr>
              <w:fldChar w:fldCharType="begin"/>
            </w:r>
            <w:r w:rsidR="002C0936">
              <w:rPr>
                <w:noProof/>
                <w:webHidden/>
              </w:rPr>
              <w:instrText xml:space="preserve"> PAGEREF _Toc83970639 \h </w:instrText>
            </w:r>
            <w:r w:rsidR="002C0936">
              <w:rPr>
                <w:noProof/>
                <w:webHidden/>
              </w:rPr>
            </w:r>
            <w:r w:rsidR="002C0936">
              <w:rPr>
                <w:noProof/>
                <w:webHidden/>
              </w:rPr>
              <w:fldChar w:fldCharType="separate"/>
            </w:r>
            <w:r w:rsidR="00201777">
              <w:rPr>
                <w:noProof/>
                <w:webHidden/>
              </w:rPr>
              <w:t>6</w:t>
            </w:r>
            <w:r w:rsidR="002C0936">
              <w:rPr>
                <w:noProof/>
                <w:webHidden/>
              </w:rPr>
              <w:fldChar w:fldCharType="end"/>
            </w:r>
          </w:hyperlink>
        </w:p>
        <w:p w14:paraId="771D92C9" w14:textId="4965EC92" w:rsidR="002C0936" w:rsidRDefault="00EA31D3">
          <w:pPr>
            <w:pStyle w:val="TOC1"/>
            <w:tabs>
              <w:tab w:val="right" w:leader="dot" w:pos="9488"/>
            </w:tabs>
            <w:rPr>
              <w:rFonts w:eastAsiaTheme="minorEastAsia"/>
              <w:noProof/>
              <w:lang w:eastAsia="en-GB"/>
            </w:rPr>
          </w:pPr>
          <w:hyperlink w:anchor="_Toc83970640" w:history="1">
            <w:r w:rsidR="002C0936" w:rsidRPr="005D4338">
              <w:rPr>
                <w:rStyle w:val="Hyperlink"/>
                <w:noProof/>
              </w:rPr>
              <w:t>Median gender pay gap</w:t>
            </w:r>
            <w:r w:rsidR="002C0936">
              <w:rPr>
                <w:noProof/>
                <w:webHidden/>
              </w:rPr>
              <w:tab/>
            </w:r>
            <w:r w:rsidR="002C0936">
              <w:rPr>
                <w:noProof/>
                <w:webHidden/>
              </w:rPr>
              <w:fldChar w:fldCharType="begin"/>
            </w:r>
            <w:r w:rsidR="002C0936">
              <w:rPr>
                <w:noProof/>
                <w:webHidden/>
              </w:rPr>
              <w:instrText xml:space="preserve"> PAGEREF _Toc83970640 \h </w:instrText>
            </w:r>
            <w:r w:rsidR="002C0936">
              <w:rPr>
                <w:noProof/>
                <w:webHidden/>
              </w:rPr>
            </w:r>
            <w:r w:rsidR="002C0936">
              <w:rPr>
                <w:noProof/>
                <w:webHidden/>
              </w:rPr>
              <w:fldChar w:fldCharType="separate"/>
            </w:r>
            <w:r w:rsidR="00201777">
              <w:rPr>
                <w:noProof/>
                <w:webHidden/>
              </w:rPr>
              <w:t>7</w:t>
            </w:r>
            <w:r w:rsidR="002C0936">
              <w:rPr>
                <w:noProof/>
                <w:webHidden/>
              </w:rPr>
              <w:fldChar w:fldCharType="end"/>
            </w:r>
          </w:hyperlink>
        </w:p>
        <w:p w14:paraId="4495137E" w14:textId="13E3B951" w:rsidR="002C0936" w:rsidRDefault="00EA31D3">
          <w:pPr>
            <w:pStyle w:val="TOC1"/>
            <w:tabs>
              <w:tab w:val="right" w:leader="dot" w:pos="9488"/>
            </w:tabs>
            <w:rPr>
              <w:rFonts w:eastAsiaTheme="minorEastAsia"/>
              <w:noProof/>
              <w:lang w:eastAsia="en-GB"/>
            </w:rPr>
          </w:pPr>
          <w:hyperlink w:anchor="_Toc83970641" w:history="1">
            <w:r w:rsidR="002C0936" w:rsidRPr="005D4338">
              <w:rPr>
                <w:rStyle w:val="Hyperlink"/>
                <w:noProof/>
              </w:rPr>
              <w:t>Mean Bonus Gender Pay Gap &amp; Median Bonus Gender Pay Gap</w:t>
            </w:r>
            <w:r w:rsidR="002C0936">
              <w:rPr>
                <w:noProof/>
                <w:webHidden/>
              </w:rPr>
              <w:tab/>
            </w:r>
            <w:r w:rsidR="002C0936">
              <w:rPr>
                <w:noProof/>
                <w:webHidden/>
              </w:rPr>
              <w:fldChar w:fldCharType="begin"/>
            </w:r>
            <w:r w:rsidR="002C0936">
              <w:rPr>
                <w:noProof/>
                <w:webHidden/>
              </w:rPr>
              <w:instrText xml:space="preserve"> PAGEREF _Toc83970641 \h </w:instrText>
            </w:r>
            <w:r w:rsidR="002C0936">
              <w:rPr>
                <w:noProof/>
                <w:webHidden/>
              </w:rPr>
            </w:r>
            <w:r w:rsidR="002C0936">
              <w:rPr>
                <w:noProof/>
                <w:webHidden/>
              </w:rPr>
              <w:fldChar w:fldCharType="separate"/>
            </w:r>
            <w:r w:rsidR="00201777">
              <w:rPr>
                <w:noProof/>
                <w:webHidden/>
              </w:rPr>
              <w:t>8</w:t>
            </w:r>
            <w:r w:rsidR="002C0936">
              <w:rPr>
                <w:noProof/>
                <w:webHidden/>
              </w:rPr>
              <w:fldChar w:fldCharType="end"/>
            </w:r>
          </w:hyperlink>
        </w:p>
        <w:p w14:paraId="2619A6F6" w14:textId="68F57C18" w:rsidR="002C0936" w:rsidRDefault="00EA31D3">
          <w:pPr>
            <w:pStyle w:val="TOC1"/>
            <w:tabs>
              <w:tab w:val="right" w:leader="dot" w:pos="9488"/>
            </w:tabs>
            <w:rPr>
              <w:rFonts w:eastAsiaTheme="minorEastAsia"/>
              <w:noProof/>
              <w:lang w:eastAsia="en-GB"/>
            </w:rPr>
          </w:pPr>
          <w:hyperlink w:anchor="_Toc83970642" w:history="1">
            <w:r w:rsidR="002C0936" w:rsidRPr="005D4338">
              <w:rPr>
                <w:rStyle w:val="Hyperlink"/>
                <w:noProof/>
              </w:rPr>
              <w:t>The portion of males and females receiving bonus payments</w:t>
            </w:r>
            <w:r w:rsidR="002C0936">
              <w:rPr>
                <w:noProof/>
                <w:webHidden/>
              </w:rPr>
              <w:tab/>
            </w:r>
            <w:r w:rsidR="002C0936">
              <w:rPr>
                <w:noProof/>
                <w:webHidden/>
              </w:rPr>
              <w:fldChar w:fldCharType="begin"/>
            </w:r>
            <w:r w:rsidR="002C0936">
              <w:rPr>
                <w:noProof/>
                <w:webHidden/>
              </w:rPr>
              <w:instrText xml:space="preserve"> PAGEREF _Toc83970642 \h </w:instrText>
            </w:r>
            <w:r w:rsidR="002C0936">
              <w:rPr>
                <w:noProof/>
                <w:webHidden/>
              </w:rPr>
            </w:r>
            <w:r w:rsidR="002C0936">
              <w:rPr>
                <w:noProof/>
                <w:webHidden/>
              </w:rPr>
              <w:fldChar w:fldCharType="separate"/>
            </w:r>
            <w:r w:rsidR="00201777">
              <w:rPr>
                <w:noProof/>
                <w:webHidden/>
              </w:rPr>
              <w:t>8</w:t>
            </w:r>
            <w:r w:rsidR="002C0936">
              <w:rPr>
                <w:noProof/>
                <w:webHidden/>
              </w:rPr>
              <w:fldChar w:fldCharType="end"/>
            </w:r>
          </w:hyperlink>
        </w:p>
        <w:p w14:paraId="4126EB35" w14:textId="0DECBC1C" w:rsidR="002C0936" w:rsidRDefault="00EA31D3">
          <w:pPr>
            <w:pStyle w:val="TOC1"/>
            <w:tabs>
              <w:tab w:val="right" w:leader="dot" w:pos="9488"/>
            </w:tabs>
            <w:rPr>
              <w:rFonts w:eastAsiaTheme="minorEastAsia"/>
              <w:noProof/>
              <w:lang w:eastAsia="en-GB"/>
            </w:rPr>
          </w:pPr>
          <w:hyperlink w:anchor="_Toc83970643" w:history="1">
            <w:r w:rsidR="002C0936" w:rsidRPr="005D4338">
              <w:rPr>
                <w:rStyle w:val="Hyperlink"/>
                <w:noProof/>
              </w:rPr>
              <w:t>Quartile pay bands - male and female proportion</w:t>
            </w:r>
            <w:r w:rsidR="002C0936">
              <w:rPr>
                <w:noProof/>
                <w:webHidden/>
              </w:rPr>
              <w:tab/>
            </w:r>
            <w:r w:rsidR="002C0936">
              <w:rPr>
                <w:noProof/>
                <w:webHidden/>
              </w:rPr>
              <w:fldChar w:fldCharType="begin"/>
            </w:r>
            <w:r w:rsidR="002C0936">
              <w:rPr>
                <w:noProof/>
                <w:webHidden/>
              </w:rPr>
              <w:instrText xml:space="preserve"> PAGEREF _Toc83970643 \h </w:instrText>
            </w:r>
            <w:r w:rsidR="002C0936">
              <w:rPr>
                <w:noProof/>
                <w:webHidden/>
              </w:rPr>
            </w:r>
            <w:r w:rsidR="002C0936">
              <w:rPr>
                <w:noProof/>
                <w:webHidden/>
              </w:rPr>
              <w:fldChar w:fldCharType="separate"/>
            </w:r>
            <w:r w:rsidR="00201777">
              <w:rPr>
                <w:noProof/>
                <w:webHidden/>
              </w:rPr>
              <w:t>9</w:t>
            </w:r>
            <w:r w:rsidR="002C0936">
              <w:rPr>
                <w:noProof/>
                <w:webHidden/>
              </w:rPr>
              <w:fldChar w:fldCharType="end"/>
            </w:r>
          </w:hyperlink>
        </w:p>
        <w:p w14:paraId="0D1A20CE" w14:textId="6EDAFD7B" w:rsidR="002C0936" w:rsidRDefault="00EA31D3">
          <w:pPr>
            <w:pStyle w:val="TOC1"/>
            <w:tabs>
              <w:tab w:val="right" w:leader="dot" w:pos="9488"/>
            </w:tabs>
            <w:rPr>
              <w:rFonts w:eastAsiaTheme="minorEastAsia"/>
              <w:noProof/>
              <w:lang w:eastAsia="en-GB"/>
            </w:rPr>
          </w:pPr>
          <w:hyperlink w:anchor="_Toc83970644" w:history="1">
            <w:r w:rsidR="002C0936" w:rsidRPr="005D4338">
              <w:rPr>
                <w:rStyle w:val="Hyperlink"/>
                <w:noProof/>
              </w:rPr>
              <w:t>What changes and recommendations could be considered?</w:t>
            </w:r>
            <w:r w:rsidR="002C0936">
              <w:rPr>
                <w:noProof/>
                <w:webHidden/>
              </w:rPr>
              <w:tab/>
            </w:r>
            <w:r w:rsidR="002C0936">
              <w:rPr>
                <w:noProof/>
                <w:webHidden/>
              </w:rPr>
              <w:fldChar w:fldCharType="begin"/>
            </w:r>
            <w:r w:rsidR="002C0936">
              <w:rPr>
                <w:noProof/>
                <w:webHidden/>
              </w:rPr>
              <w:instrText xml:space="preserve"> PAGEREF _Toc83970644 \h </w:instrText>
            </w:r>
            <w:r w:rsidR="002C0936">
              <w:rPr>
                <w:noProof/>
                <w:webHidden/>
              </w:rPr>
            </w:r>
            <w:r w:rsidR="002C0936">
              <w:rPr>
                <w:noProof/>
                <w:webHidden/>
              </w:rPr>
              <w:fldChar w:fldCharType="separate"/>
            </w:r>
            <w:r w:rsidR="00201777">
              <w:rPr>
                <w:noProof/>
                <w:webHidden/>
              </w:rPr>
              <w:t>9</w:t>
            </w:r>
            <w:r w:rsidR="002C0936">
              <w:rPr>
                <w:noProof/>
                <w:webHidden/>
              </w:rPr>
              <w:fldChar w:fldCharType="end"/>
            </w:r>
          </w:hyperlink>
        </w:p>
        <w:p w14:paraId="0D1A4059" w14:textId="3E693C6D" w:rsidR="00B80A06" w:rsidRDefault="00B80A06">
          <w:r>
            <w:rPr>
              <w:b/>
              <w:bCs/>
              <w:noProof/>
            </w:rPr>
            <w:fldChar w:fldCharType="end"/>
          </w:r>
        </w:p>
      </w:sdtContent>
    </w:sdt>
    <w:p w14:paraId="561E2C31" w14:textId="52695DD7" w:rsidR="009468FD" w:rsidRDefault="009468FD">
      <w:pPr>
        <w:rPr>
          <w:rFonts w:ascii="Arial" w:hAnsi="Arial" w:cs="Arial"/>
        </w:rPr>
      </w:pPr>
      <w:r>
        <w:rPr>
          <w:rFonts w:ascii="Arial" w:hAnsi="Arial" w:cs="Arial"/>
        </w:rPr>
        <w:br w:type="page"/>
      </w:r>
    </w:p>
    <w:p w14:paraId="4E263567" w14:textId="77777777" w:rsidR="00B80A06" w:rsidRPr="00B80A06" w:rsidRDefault="00B80A06" w:rsidP="00B80A06">
      <w:pPr>
        <w:pStyle w:val="Heading1"/>
      </w:pPr>
      <w:bookmarkStart w:id="0" w:name="_Toc69989915"/>
      <w:bookmarkStart w:id="1" w:name="_Toc83970635"/>
      <w:r w:rsidRPr="00B80A06">
        <w:lastRenderedPageBreak/>
        <w:t>Introduction</w:t>
      </w:r>
      <w:bookmarkEnd w:id="0"/>
      <w:bookmarkEnd w:id="1"/>
    </w:p>
    <w:p w14:paraId="2ADB9067" w14:textId="77777777" w:rsidR="00B80A06" w:rsidRPr="00B80A06" w:rsidRDefault="00B80A06" w:rsidP="00B80A06">
      <w:pPr>
        <w:spacing w:after="0"/>
      </w:pPr>
    </w:p>
    <w:p w14:paraId="443F8D0B" w14:textId="77777777" w:rsidR="00B80A06" w:rsidRPr="00B80A06" w:rsidRDefault="00B80A06" w:rsidP="00B80A06">
      <w:pPr>
        <w:spacing w:after="0"/>
      </w:pPr>
      <w:r w:rsidRPr="00B80A06">
        <w:t>The Equality Act 2010 (Specific Duties and Public Authorities) Regulations 2017, require ‘specified public authorities’ including multi academy trusts with 250 or more employees to report and publish gender pay gap information.  This sets out statutory calculations every year showing how large the pay gap is between their male and female employees.</w:t>
      </w:r>
    </w:p>
    <w:p w14:paraId="5512BFBA" w14:textId="77777777" w:rsidR="00B80A06" w:rsidRPr="00B80A06" w:rsidRDefault="00B80A06" w:rsidP="00B80A06">
      <w:pPr>
        <w:spacing w:after="0"/>
      </w:pPr>
    </w:p>
    <w:p w14:paraId="4B522F84" w14:textId="15B419B3" w:rsidR="00B80A06" w:rsidRPr="00B80A06" w:rsidRDefault="0050787D" w:rsidP="00B80A06">
      <w:pPr>
        <w:spacing w:after="0"/>
      </w:pPr>
      <w:r>
        <w:t>Enhance Academy</w:t>
      </w:r>
      <w:r w:rsidR="00B80A06" w:rsidRPr="00B80A06">
        <w:t xml:space="preserve"> Trust (“the Trust”) is </w:t>
      </w:r>
      <w:r>
        <w:t xml:space="preserve">the </w:t>
      </w:r>
      <w:r w:rsidR="00B80A06" w:rsidRPr="00B80A06">
        <w:t>legal employer for more than 250 employees. This means that it has been required to publish its gender pay information f</w:t>
      </w:r>
      <w:r w:rsidR="00AB3A6B">
        <w:t>or</w:t>
      </w:r>
      <w:r w:rsidR="00B80A06" w:rsidRPr="00B80A06">
        <w:t xml:space="preserve"> 31 March </w:t>
      </w:r>
      <w:r>
        <w:t>202</w:t>
      </w:r>
      <w:r w:rsidR="002B197C">
        <w:t>4</w:t>
      </w:r>
      <w:r w:rsidR="00B80A06" w:rsidRPr="00B80A06">
        <w:t>.</w:t>
      </w:r>
    </w:p>
    <w:p w14:paraId="2AF5B8D7" w14:textId="77777777" w:rsidR="00B80A06" w:rsidRPr="00B80A06" w:rsidRDefault="00B80A06" w:rsidP="00B80A06">
      <w:pPr>
        <w:spacing w:after="0"/>
      </w:pPr>
      <w:r w:rsidRPr="00B80A06">
        <w:t>Further information on Gender Pay Gap Reporting can be found on the following link:</w:t>
      </w:r>
    </w:p>
    <w:p w14:paraId="2FC0DA70" w14:textId="77777777" w:rsidR="00B80A06" w:rsidRPr="00B80A06" w:rsidRDefault="00EA31D3" w:rsidP="00B80A06">
      <w:pPr>
        <w:spacing w:after="0"/>
        <w:rPr>
          <w:rStyle w:val="Hyperlink"/>
          <w:rFonts w:cstheme="minorHAnsi"/>
        </w:rPr>
      </w:pPr>
      <w:hyperlink r:id="rId12" w:history="1">
        <w:r w:rsidR="00B80A06" w:rsidRPr="00B80A06">
          <w:rPr>
            <w:rStyle w:val="Hyperlink"/>
            <w:rFonts w:cstheme="minorHAnsi"/>
          </w:rPr>
          <w:t>http://www.acas.org.uk/index.aspx?articleid=5768</w:t>
        </w:r>
      </w:hyperlink>
    </w:p>
    <w:p w14:paraId="1488B55C" w14:textId="77777777" w:rsidR="00B80A06" w:rsidRPr="00B80A06" w:rsidRDefault="00B80A06" w:rsidP="00B80A06">
      <w:pPr>
        <w:spacing w:after="0"/>
      </w:pPr>
    </w:p>
    <w:p w14:paraId="5BA24683" w14:textId="396E454E" w:rsidR="00B80A06" w:rsidRPr="00B80A06" w:rsidRDefault="00B80A06" w:rsidP="00B80A06">
      <w:pPr>
        <w:spacing w:after="0"/>
      </w:pPr>
      <w:r w:rsidRPr="00B80A06">
        <w:t xml:space="preserve">The Trust is committed to equal opportunities and equal treatment for all employees, regardless of sex, race, religion or belief, age, marriage or civil partnership, pregnancy/maternity, sexual orientation, gender reassignment or disability. We have a clear policy of paying employees equally for the same or equivalent work, regardless of their sex (or any of the other protected characteristics listed above) and as a Trust follow the School Teachers’ Pay and Conditions document </w:t>
      </w:r>
      <w:r w:rsidR="0050787D">
        <w:t xml:space="preserve">(STPCD) </w:t>
      </w:r>
      <w:r w:rsidRPr="00B80A06">
        <w:t xml:space="preserve">and statutory guidance relating to the determination and rates for teachers pay.  This is set out in the Trust Pay Policy, which is updated each year.  The Trust </w:t>
      </w:r>
      <w:r w:rsidR="0050787D">
        <w:t xml:space="preserve">also </w:t>
      </w:r>
      <w:r w:rsidRPr="00B80A06">
        <w:t xml:space="preserve">follows the National Joint Council (NJC) for determining the scale point rates for support staff pay. </w:t>
      </w:r>
      <w:r w:rsidR="0050787D">
        <w:t xml:space="preserve">For positions which fall outside the remit of the STPCD and NJC, the Trust follows a rigorous job evaluation process to determine the salary range/spot salary for those positions. </w:t>
      </w:r>
    </w:p>
    <w:p w14:paraId="7B78035A" w14:textId="77777777" w:rsidR="00B80A06" w:rsidRPr="00B80A06" w:rsidRDefault="00B80A06" w:rsidP="00B80A06">
      <w:pPr>
        <w:spacing w:after="0"/>
      </w:pPr>
    </w:p>
    <w:p w14:paraId="462585E3" w14:textId="77777777" w:rsidR="00B80A06" w:rsidRPr="00B80A06" w:rsidRDefault="00B80A06" w:rsidP="00B80A06">
      <w:pPr>
        <w:spacing w:after="0"/>
      </w:pPr>
      <w:r w:rsidRPr="00B80A06">
        <w:t xml:space="preserve">The gender pay gap is the difference between female and male average hourly earnings. It is much broader than the issue of equal pay and describes the fact that women’s average pay remains significantly lower than average men’s pay. </w:t>
      </w:r>
    </w:p>
    <w:p w14:paraId="288E286A" w14:textId="77777777" w:rsidR="00B80A06" w:rsidRPr="00B80A06" w:rsidRDefault="00B80A06" w:rsidP="00B80A06">
      <w:pPr>
        <w:spacing w:after="0"/>
      </w:pPr>
    </w:p>
    <w:p w14:paraId="70B120E7" w14:textId="77777777" w:rsidR="00B80A06" w:rsidRPr="00B80A06" w:rsidRDefault="00B80A06" w:rsidP="00B80A06">
      <w:pPr>
        <w:spacing w:after="0"/>
        <w:rPr>
          <w:b/>
        </w:rPr>
      </w:pPr>
      <w:r w:rsidRPr="00B80A06">
        <w:rPr>
          <w:b/>
        </w:rPr>
        <w:t>Please note:</w:t>
      </w:r>
    </w:p>
    <w:p w14:paraId="275EDFAA" w14:textId="77777777" w:rsidR="002C0936" w:rsidRDefault="002C0936" w:rsidP="00B80A06">
      <w:pPr>
        <w:spacing w:after="0"/>
        <w:rPr>
          <w:b/>
        </w:rPr>
      </w:pPr>
    </w:p>
    <w:p w14:paraId="5648392D" w14:textId="48BBD904" w:rsidR="00B80A06" w:rsidRPr="00B80A06" w:rsidRDefault="00B80A06" w:rsidP="00B80A06">
      <w:pPr>
        <w:spacing w:after="0"/>
        <w:rPr>
          <w:b/>
        </w:rPr>
      </w:pPr>
      <w:r w:rsidRPr="00B80A06">
        <w:rPr>
          <w:b/>
        </w:rPr>
        <w:t xml:space="preserve">This report is based on data taken from the </w:t>
      </w:r>
      <w:r w:rsidR="005829BC">
        <w:rPr>
          <w:b/>
        </w:rPr>
        <w:t>Trust</w:t>
      </w:r>
      <w:r w:rsidRPr="00B80A06">
        <w:rPr>
          <w:b/>
        </w:rPr>
        <w:t xml:space="preserve"> establishment reports </w:t>
      </w:r>
      <w:r w:rsidR="005829BC">
        <w:rPr>
          <w:b/>
        </w:rPr>
        <w:t>for</w:t>
      </w:r>
      <w:r w:rsidRPr="00B80A06">
        <w:rPr>
          <w:b/>
        </w:rPr>
        <w:t xml:space="preserve"> the period 1 </w:t>
      </w:r>
      <w:r w:rsidR="0050787D">
        <w:rPr>
          <w:b/>
        </w:rPr>
        <w:t xml:space="preserve">April </w:t>
      </w:r>
      <w:r w:rsidRPr="00B80A06">
        <w:rPr>
          <w:b/>
        </w:rPr>
        <w:t>20</w:t>
      </w:r>
      <w:r w:rsidR="000374B2">
        <w:rPr>
          <w:b/>
        </w:rPr>
        <w:t>2</w:t>
      </w:r>
      <w:r w:rsidR="002B197C">
        <w:rPr>
          <w:b/>
        </w:rPr>
        <w:t>3</w:t>
      </w:r>
      <w:r w:rsidRPr="00B80A06">
        <w:rPr>
          <w:b/>
        </w:rPr>
        <w:t xml:space="preserve"> to 31 </w:t>
      </w:r>
      <w:r w:rsidR="0050787D">
        <w:rPr>
          <w:b/>
        </w:rPr>
        <w:t xml:space="preserve">March </w:t>
      </w:r>
      <w:r w:rsidRPr="00B80A06">
        <w:rPr>
          <w:b/>
        </w:rPr>
        <w:t>202</w:t>
      </w:r>
      <w:r w:rsidR="002B197C">
        <w:rPr>
          <w:b/>
        </w:rPr>
        <w:t>4</w:t>
      </w:r>
      <w:r w:rsidRPr="00B80A06">
        <w:rPr>
          <w:b/>
        </w:rPr>
        <w:t>.</w:t>
      </w:r>
      <w:r w:rsidR="005829BC">
        <w:rPr>
          <w:b/>
        </w:rPr>
        <w:t xml:space="preserve"> The snapshot </w:t>
      </w:r>
      <w:r w:rsidR="005829BC" w:rsidRPr="00AB3A6B">
        <w:rPr>
          <w:b/>
        </w:rPr>
        <w:t xml:space="preserve">date is </w:t>
      </w:r>
      <w:r w:rsidR="005829BC" w:rsidRPr="006D79B1">
        <w:rPr>
          <w:b/>
        </w:rPr>
        <w:t>the 31 March 202</w:t>
      </w:r>
      <w:r w:rsidR="002B197C" w:rsidRPr="006D79B1">
        <w:rPr>
          <w:b/>
        </w:rPr>
        <w:t>4</w:t>
      </w:r>
      <w:r w:rsidR="005829BC" w:rsidRPr="006D79B1">
        <w:rPr>
          <w:b/>
        </w:rPr>
        <w:t>.</w:t>
      </w:r>
    </w:p>
    <w:p w14:paraId="2BC6458C" w14:textId="77777777" w:rsidR="00B80A06" w:rsidRPr="00B80A06" w:rsidRDefault="00B80A06" w:rsidP="00B80A06">
      <w:pPr>
        <w:spacing w:after="0"/>
        <w:rPr>
          <w:b/>
        </w:rPr>
      </w:pPr>
    </w:p>
    <w:p w14:paraId="7066C94C" w14:textId="0A91C38A" w:rsidR="00B80A06" w:rsidRPr="00B80A06" w:rsidRDefault="00B80A06" w:rsidP="00B80A06">
      <w:pPr>
        <w:spacing w:after="0"/>
      </w:pPr>
      <w:r w:rsidRPr="00B80A06">
        <w:t xml:space="preserve">For the purpose of this Gender Pay Gap report analysis, the report is representative of our Trust, a Multi Academy Trust of </w:t>
      </w:r>
      <w:r w:rsidR="002B197C">
        <w:t>fourteen</w:t>
      </w:r>
      <w:r w:rsidRPr="00B80A06">
        <w:t xml:space="preserve"> schools (</w:t>
      </w:r>
      <w:r w:rsidR="0050787D">
        <w:t>one</w:t>
      </w:r>
      <w:r w:rsidRPr="00B80A06">
        <w:t xml:space="preserve"> </w:t>
      </w:r>
      <w:r w:rsidR="0050787D">
        <w:t xml:space="preserve">16 plus academy and ten </w:t>
      </w:r>
      <w:r w:rsidRPr="00B80A06">
        <w:t xml:space="preserve">primary </w:t>
      </w:r>
      <w:r w:rsidR="0050787D">
        <w:t>academies</w:t>
      </w:r>
      <w:r w:rsidRPr="00B80A06">
        <w:t>) and the Trust Central Team.</w:t>
      </w:r>
    </w:p>
    <w:p w14:paraId="324566B7" w14:textId="77777777" w:rsidR="00B80A06" w:rsidRPr="00B80A06" w:rsidRDefault="00B80A06" w:rsidP="00B80A06">
      <w:pPr>
        <w:spacing w:after="0"/>
        <w:rPr>
          <w:b/>
        </w:rPr>
      </w:pPr>
    </w:p>
    <w:p w14:paraId="2B8248EF" w14:textId="583985CA" w:rsidR="00B80A06" w:rsidRPr="00B80A06" w:rsidRDefault="0050787D" w:rsidP="00B80A06">
      <w:pPr>
        <w:spacing w:after="0"/>
      </w:pPr>
      <w:r>
        <w:t>All establishments requested the gender identity of their employees prior to the start of this analysis. All establishments confirmed that their employees identified as their birth gender (i.e. male/female) and therefore f</w:t>
      </w:r>
      <w:r w:rsidR="00B80A06" w:rsidRPr="00B80A06">
        <w:t>or the purpose of this report the gender assigned to an individual (i.e. male/female) has been done using their 'title' (i.e. Mr, Mrs, Ms or Miss), if an individual has expressed or the Trust is aware, that they do not identify with this gender, current government guidance is that their data be omitted from the report. Currently Gender Pay Gap Reporting only legislates for those who identify as Male or Female.</w:t>
      </w:r>
      <w:r>
        <w:t xml:space="preserve"> </w:t>
      </w:r>
    </w:p>
    <w:p w14:paraId="4034B31E" w14:textId="77777777" w:rsidR="00B80A06" w:rsidRPr="00B80A06" w:rsidRDefault="00B80A06" w:rsidP="00B80A06">
      <w:pPr>
        <w:spacing w:after="0"/>
      </w:pPr>
    </w:p>
    <w:p w14:paraId="40C86BE0" w14:textId="77777777" w:rsidR="00B80A06" w:rsidRPr="00B80A06" w:rsidRDefault="00B80A06" w:rsidP="00B80A06">
      <w:pPr>
        <w:spacing w:after="0"/>
      </w:pPr>
      <w:r w:rsidRPr="00B80A06">
        <w:t>This report is broken down by ‘</w:t>
      </w:r>
      <w:hyperlink r:id="rId13" w:anchor="relevant-employees" w:history="1">
        <w:r w:rsidRPr="00B80A06">
          <w:rPr>
            <w:rStyle w:val="Hyperlink"/>
            <w:rFonts w:cstheme="minorHAnsi"/>
          </w:rPr>
          <w:t>relevant employees</w:t>
        </w:r>
      </w:hyperlink>
      <w:r w:rsidRPr="00B80A06">
        <w:t>’ and ‘</w:t>
      </w:r>
      <w:hyperlink r:id="rId14" w:anchor="relevant-employees" w:history="1">
        <w:r w:rsidRPr="00B80A06">
          <w:rPr>
            <w:rStyle w:val="Hyperlink"/>
            <w:rFonts w:cstheme="minorHAnsi"/>
          </w:rPr>
          <w:t>full-pay relevant employees</w:t>
        </w:r>
      </w:hyperlink>
      <w:r w:rsidRPr="00B80A06">
        <w:t xml:space="preserve">’ – these categories are specified by the government within the gender pay gap reporting guidance. </w:t>
      </w:r>
    </w:p>
    <w:p w14:paraId="63DF5261" w14:textId="77777777" w:rsidR="00B80A06" w:rsidRPr="00B80A06" w:rsidRDefault="00B80A06" w:rsidP="00B80A06">
      <w:pPr>
        <w:spacing w:after="0"/>
      </w:pPr>
    </w:p>
    <w:p w14:paraId="0968438F" w14:textId="72E77289" w:rsidR="00B80A06" w:rsidRPr="00B80A06" w:rsidRDefault="00B80A06" w:rsidP="00B80A06">
      <w:pPr>
        <w:spacing w:after="0"/>
      </w:pPr>
      <w:r w:rsidRPr="00B80A06">
        <w:lastRenderedPageBreak/>
        <w:t xml:space="preserve">As there is currently no clear guidance on how to report on staff who have more than one contract with the trust. It is advised, if they are classed as a full-pay relevant employee, to add up all relevant pay paid to them during the relevant pay period and apply the appropriate calculation. </w:t>
      </w:r>
      <w:r w:rsidR="00D95F3C">
        <w:t xml:space="preserve">Some of the roles affected were zero hours/casual worker agreements, following a review of the work conducted during the relevant pay period, some roles were removed from the calculation as no work had been undertaken in that position during the relevant pay period. </w:t>
      </w:r>
      <w:r w:rsidRPr="00B80A06">
        <w:t xml:space="preserve">The total number of </w:t>
      </w:r>
      <w:r w:rsidR="00D95F3C">
        <w:t>employees</w:t>
      </w:r>
      <w:r w:rsidRPr="00B80A06">
        <w:t xml:space="preserve"> employed at the </w:t>
      </w:r>
      <w:r w:rsidRPr="00AB3A6B">
        <w:t xml:space="preserve">Trust </w:t>
      </w:r>
      <w:r w:rsidRPr="002775A4">
        <w:t xml:space="preserve">is </w:t>
      </w:r>
      <w:r w:rsidR="002B197C">
        <w:t>556</w:t>
      </w:r>
      <w:r w:rsidRPr="00FC6054">
        <w:t>.</w:t>
      </w:r>
      <w:r w:rsidRPr="00B80A06">
        <w:t xml:space="preserve"> </w:t>
      </w:r>
    </w:p>
    <w:p w14:paraId="740CD03C" w14:textId="1DCBB197" w:rsidR="008F64D5" w:rsidRDefault="008F64D5" w:rsidP="00B80A06">
      <w:pPr>
        <w:spacing w:after="0"/>
        <w:rPr>
          <w:i/>
          <w:iCs/>
        </w:rPr>
      </w:pPr>
      <w:bookmarkStart w:id="2" w:name="_Toc69989916"/>
    </w:p>
    <w:p w14:paraId="6CA7C190" w14:textId="41DB0CD8" w:rsidR="00855CC1" w:rsidRPr="00B80A06" w:rsidRDefault="00855CC1" w:rsidP="00855CC1">
      <w:pPr>
        <w:pStyle w:val="Heading1"/>
      </w:pPr>
      <w:bookmarkStart w:id="3" w:name="_Toc83970636"/>
      <w:r w:rsidRPr="00AB3A6B">
        <w:t>Methodology</w:t>
      </w:r>
      <w:bookmarkEnd w:id="3"/>
      <w:r w:rsidRPr="00B80A06">
        <w:t xml:space="preserve"> </w:t>
      </w:r>
    </w:p>
    <w:p w14:paraId="56384225" w14:textId="77777777" w:rsidR="002C0936" w:rsidRDefault="002C0936" w:rsidP="00B80A06">
      <w:pPr>
        <w:spacing w:after="0"/>
      </w:pPr>
    </w:p>
    <w:p w14:paraId="2A68C0F4" w14:textId="237B8F61" w:rsidR="00855CC1" w:rsidRDefault="00855CC1" w:rsidP="00B80A06">
      <w:pPr>
        <w:spacing w:after="0"/>
      </w:pPr>
      <w:r>
        <w:t>The Trust has a substantial number of employees undertaking more than one role, whether this be a contracted role or a casual/</w:t>
      </w:r>
      <w:r w:rsidR="002C0936">
        <w:t>zero-hour</w:t>
      </w:r>
      <w:r>
        <w:t xml:space="preserve"> role. </w:t>
      </w:r>
      <w:r w:rsidR="002C0936">
        <w:t>So,</w:t>
      </w:r>
      <w:r>
        <w:t xml:space="preserve"> an accurate and fair figure could be reached for these employees, the Trust used the following method to calculate their hourly rate. </w:t>
      </w:r>
    </w:p>
    <w:p w14:paraId="10B0E78D" w14:textId="6DAFBDE6" w:rsidR="00855CC1" w:rsidRDefault="00855CC1" w:rsidP="00B80A06">
      <w:pPr>
        <w:spacing w:after="0"/>
      </w:pPr>
    </w:p>
    <w:p w14:paraId="0A150ACE" w14:textId="7AFA00A8" w:rsidR="00855CC1" w:rsidRPr="002775A4" w:rsidRDefault="00855CC1" w:rsidP="00B80A06">
      <w:pPr>
        <w:spacing w:after="0"/>
        <w:rPr>
          <w:i/>
          <w:iCs/>
        </w:rPr>
      </w:pPr>
      <w:r w:rsidRPr="002775A4">
        <w:rPr>
          <w:i/>
          <w:iCs/>
        </w:rPr>
        <w:t>Employee with two + contracts – both with stipulated contracted hours</w:t>
      </w:r>
    </w:p>
    <w:p w14:paraId="356652E9" w14:textId="390B27B7" w:rsidR="00855CC1" w:rsidRDefault="00855CC1" w:rsidP="00B80A06">
      <w:pPr>
        <w:spacing w:after="0"/>
      </w:pPr>
      <w:r w:rsidRPr="002775A4">
        <w:t xml:space="preserve">The full-time equivalent salaries for all positions held by the employee were added together and divided by the number of roles to give the average FTE annual salary. All hours of work were added together to create one clear figure. If an employee had an all year round and a term time only role; the hours for the term time only contract would be averaged out over a 52 working week instead of a (example) 46 working week. This would ensure all hours were accounted for in a direct proportion to other employees. The stipulated calculation would then be used to work out an </w:t>
      </w:r>
      <w:r w:rsidR="002C0936" w:rsidRPr="002775A4">
        <w:t>employee’s</w:t>
      </w:r>
      <w:r w:rsidRPr="002775A4">
        <w:t xml:space="preserve"> hourly rate.</w:t>
      </w:r>
      <w:r>
        <w:t xml:space="preserve"> </w:t>
      </w:r>
      <w:r w:rsidR="002C0936">
        <w:t xml:space="preserve"> </w:t>
      </w:r>
    </w:p>
    <w:p w14:paraId="12EC3DD0" w14:textId="77777777" w:rsidR="00855CC1" w:rsidRDefault="00855CC1" w:rsidP="00B80A06">
      <w:pPr>
        <w:spacing w:after="0"/>
        <w:rPr>
          <w:i/>
          <w:iCs/>
        </w:rPr>
      </w:pPr>
    </w:p>
    <w:p w14:paraId="6257CCC6" w14:textId="694E1873" w:rsidR="00B80A06" w:rsidRPr="00B80A06" w:rsidRDefault="00B80A06" w:rsidP="008F64D5">
      <w:pPr>
        <w:pStyle w:val="Heading1"/>
      </w:pPr>
      <w:bookmarkStart w:id="4" w:name="_Toc83970637"/>
      <w:r w:rsidRPr="00B80A06">
        <w:t>Relevant employees</w:t>
      </w:r>
      <w:bookmarkEnd w:id="2"/>
      <w:bookmarkEnd w:id="4"/>
      <w:r w:rsidRPr="00B80A06">
        <w:t xml:space="preserve"> </w:t>
      </w:r>
    </w:p>
    <w:p w14:paraId="002C54B3" w14:textId="77777777" w:rsidR="002C0936" w:rsidRDefault="002C0936" w:rsidP="00B80A06">
      <w:pPr>
        <w:spacing w:after="0"/>
      </w:pPr>
    </w:p>
    <w:p w14:paraId="5D57B9E5" w14:textId="2EC2BF29" w:rsidR="00B80A06" w:rsidRPr="00B80A06" w:rsidRDefault="00B80A06" w:rsidP="00B80A06">
      <w:pPr>
        <w:spacing w:after="0"/>
      </w:pPr>
      <w:r w:rsidRPr="00B80A06">
        <w:t xml:space="preserve">Relevant employees are defined as “all employees employed by the employer on the snapshot date of a given year, except for partners. </w:t>
      </w:r>
    </w:p>
    <w:p w14:paraId="09836A99" w14:textId="77777777" w:rsidR="00B80A06" w:rsidRPr="00B80A06" w:rsidRDefault="00B80A06" w:rsidP="00B80A06">
      <w:pPr>
        <w:spacing w:after="0"/>
      </w:pPr>
    </w:p>
    <w:p w14:paraId="119D3259" w14:textId="7504CB80" w:rsidR="00B80A06" w:rsidRPr="00B80A06" w:rsidRDefault="00B80A06" w:rsidP="00B80A06">
      <w:pPr>
        <w:spacing w:after="0"/>
      </w:pPr>
      <w:r w:rsidRPr="00B80A06">
        <w:t xml:space="preserve">Relevant employees also </w:t>
      </w:r>
      <w:r w:rsidR="005829BC" w:rsidRPr="00B80A06">
        <w:t>include</w:t>
      </w:r>
      <w:r w:rsidRPr="00B80A06">
        <w:t xml:space="preserve"> those identified as full-pay relevant employees and all other employees employed on the snapshot date but on less than full pay because of leave. </w:t>
      </w:r>
    </w:p>
    <w:p w14:paraId="56A12DBD" w14:textId="77777777" w:rsidR="00B80A06" w:rsidRPr="00B80A06" w:rsidRDefault="00B80A06" w:rsidP="00B80A06">
      <w:pPr>
        <w:spacing w:after="0"/>
      </w:pPr>
    </w:p>
    <w:p w14:paraId="0064885A" w14:textId="3BDB85F5" w:rsidR="00B80A06" w:rsidRPr="00B80A06" w:rsidRDefault="00B80A06" w:rsidP="00B80A06">
      <w:pPr>
        <w:spacing w:after="0"/>
      </w:pPr>
      <w:r w:rsidRPr="00AB3A6B">
        <w:t xml:space="preserve">The Trust workforce of relevant employees </w:t>
      </w:r>
      <w:r w:rsidRPr="002775A4">
        <w:t xml:space="preserve">stands at </w:t>
      </w:r>
      <w:r w:rsidR="002B197C">
        <w:t>556</w:t>
      </w:r>
      <w:r w:rsidRPr="00FC6054">
        <w:t xml:space="preserve"> employees, </w:t>
      </w:r>
      <w:r w:rsidR="002B197C">
        <w:t>500</w:t>
      </w:r>
      <w:r w:rsidRPr="00FC6054">
        <w:t xml:space="preserve"> female and </w:t>
      </w:r>
      <w:r w:rsidR="002B197C">
        <w:t>56</w:t>
      </w:r>
      <w:r w:rsidRPr="002775A4">
        <w:t xml:space="preserve"> male</w:t>
      </w:r>
      <w:r w:rsidRPr="00AB3A6B">
        <w:t xml:space="preserve"> employees. The gender make-up of the workforce, analysed by establishment setting, depicted in table 1, shows </w:t>
      </w:r>
      <w:r w:rsidRPr="002775A4">
        <w:t xml:space="preserve">females represent </w:t>
      </w:r>
      <w:r w:rsidR="002B197C">
        <w:t>89.9</w:t>
      </w:r>
      <w:r w:rsidRPr="001E5E98">
        <w:t xml:space="preserve">% of the workforce and males represent </w:t>
      </w:r>
      <w:r w:rsidR="002B197C">
        <w:t>10.1</w:t>
      </w:r>
      <w:r w:rsidRPr="001E5E98">
        <w:t>%. Females</w:t>
      </w:r>
      <w:r w:rsidRPr="00AB3A6B">
        <w:t xml:space="preserve"> make up a higher percentage of the relevant employee workforce in all settings.</w:t>
      </w:r>
      <w:r w:rsidRPr="00B80A06">
        <w:t xml:space="preserve"> </w:t>
      </w:r>
    </w:p>
    <w:p w14:paraId="2BCF8C42" w14:textId="77777777" w:rsidR="00B80A06" w:rsidRPr="00B80A06" w:rsidRDefault="00B80A06" w:rsidP="00B80A06">
      <w:pPr>
        <w:spacing w:after="0"/>
      </w:pPr>
    </w:p>
    <w:p w14:paraId="49226A1F" w14:textId="4AD81872" w:rsidR="00AB3A6B" w:rsidRDefault="00AB3A6B" w:rsidP="00B80A06">
      <w:pPr>
        <w:spacing w:after="0"/>
      </w:pPr>
    </w:p>
    <w:p w14:paraId="5F2EB3EA" w14:textId="1DB9046E" w:rsidR="002A2955" w:rsidRDefault="002A2955" w:rsidP="00B80A06">
      <w:pPr>
        <w:spacing w:after="0"/>
      </w:pPr>
    </w:p>
    <w:p w14:paraId="5DEBC36E" w14:textId="38B53A23" w:rsidR="002A2955" w:rsidRDefault="002A2955" w:rsidP="00B80A06">
      <w:pPr>
        <w:spacing w:after="0"/>
      </w:pPr>
    </w:p>
    <w:p w14:paraId="1B842F21" w14:textId="3910B35F" w:rsidR="002A2955" w:rsidRDefault="002A2955" w:rsidP="00B80A06">
      <w:pPr>
        <w:spacing w:after="0"/>
      </w:pPr>
    </w:p>
    <w:p w14:paraId="50BE07B2" w14:textId="253A1CBF" w:rsidR="002A2955" w:rsidRDefault="002A2955" w:rsidP="00B80A06">
      <w:pPr>
        <w:spacing w:after="0"/>
      </w:pPr>
    </w:p>
    <w:p w14:paraId="416D8023" w14:textId="20D993C3" w:rsidR="002A2955" w:rsidRDefault="002A2955" w:rsidP="00B80A06">
      <w:pPr>
        <w:spacing w:after="0"/>
      </w:pPr>
    </w:p>
    <w:p w14:paraId="56065989" w14:textId="4CA5B15D" w:rsidR="002A2955" w:rsidRDefault="002A2955" w:rsidP="00B80A06">
      <w:pPr>
        <w:spacing w:after="0"/>
      </w:pPr>
    </w:p>
    <w:p w14:paraId="0B921966" w14:textId="7EE52502" w:rsidR="002A2955" w:rsidRDefault="002A2955" w:rsidP="00B80A06">
      <w:pPr>
        <w:spacing w:after="0"/>
      </w:pPr>
    </w:p>
    <w:p w14:paraId="37C9BE74" w14:textId="519C4460" w:rsidR="002A2955" w:rsidRDefault="002A2955" w:rsidP="00B80A06">
      <w:pPr>
        <w:spacing w:after="0"/>
      </w:pPr>
    </w:p>
    <w:p w14:paraId="72F807B7" w14:textId="6FAEE7C2" w:rsidR="002A2955" w:rsidRDefault="002A2955" w:rsidP="00B80A06">
      <w:pPr>
        <w:spacing w:after="0"/>
      </w:pPr>
    </w:p>
    <w:p w14:paraId="23FE02ED" w14:textId="77777777" w:rsidR="002B197C" w:rsidRDefault="002B197C" w:rsidP="00B80A06">
      <w:pPr>
        <w:spacing w:after="0"/>
      </w:pPr>
    </w:p>
    <w:p w14:paraId="54449638" w14:textId="775669B6" w:rsidR="00B80A06" w:rsidRPr="00B80A06" w:rsidRDefault="00B80A06" w:rsidP="00B80A06">
      <w:pPr>
        <w:spacing w:after="0"/>
      </w:pPr>
      <w:r w:rsidRPr="00B80A06">
        <w:lastRenderedPageBreak/>
        <w:t>Table 1:</w:t>
      </w:r>
    </w:p>
    <w:p w14:paraId="7522286E" w14:textId="221AC8C1" w:rsidR="00B80A06" w:rsidRDefault="00B80A06" w:rsidP="00B80A06">
      <w:pPr>
        <w:spacing w:after="0"/>
      </w:pPr>
    </w:p>
    <w:tbl>
      <w:tblPr>
        <w:tblW w:w="5000" w:type="pct"/>
        <w:tblLook w:val="04A0" w:firstRow="1" w:lastRow="0" w:firstColumn="1" w:lastColumn="0" w:noHBand="0" w:noVBand="1"/>
      </w:tblPr>
      <w:tblGrid>
        <w:gridCol w:w="4979"/>
        <w:gridCol w:w="1305"/>
        <w:gridCol w:w="1305"/>
        <w:gridCol w:w="1909"/>
      </w:tblGrid>
      <w:tr w:rsidR="002F2DA4" w:rsidRPr="002F2DA4" w14:paraId="3B50FE94" w14:textId="77777777" w:rsidTr="00B5268C">
        <w:trPr>
          <w:trHeight w:val="288"/>
        </w:trPr>
        <w:tc>
          <w:tcPr>
            <w:tcW w:w="2621" w:type="pct"/>
            <w:tcBorders>
              <w:top w:val="single" w:sz="4" w:space="0" w:color="auto"/>
              <w:left w:val="nil"/>
              <w:bottom w:val="single" w:sz="4" w:space="0" w:color="auto"/>
              <w:right w:val="nil"/>
            </w:tcBorders>
            <w:shd w:val="clear" w:color="auto" w:fill="92D050"/>
            <w:noWrap/>
            <w:vAlign w:val="center"/>
            <w:hideMark/>
          </w:tcPr>
          <w:p w14:paraId="5D8D8823" w14:textId="29B24028" w:rsidR="002F2DA4" w:rsidRPr="002F2DA4" w:rsidRDefault="002F2DA4" w:rsidP="002F2DA4">
            <w:pPr>
              <w:spacing w:after="0" w:line="240" w:lineRule="auto"/>
              <w:rPr>
                <w:rFonts w:eastAsia="Times New Roman" w:cstheme="minorHAnsi"/>
                <w:b/>
                <w:bCs/>
                <w:color w:val="000000"/>
                <w:lang w:eastAsia="en-GB"/>
              </w:rPr>
            </w:pPr>
            <w:r w:rsidRPr="002F2DA4">
              <w:rPr>
                <w:rFonts w:eastAsia="Times New Roman" w:cstheme="minorHAnsi"/>
                <w:b/>
                <w:bCs/>
                <w:color w:val="000000"/>
                <w:lang w:eastAsia="en-GB"/>
              </w:rPr>
              <w:t>Gender by Establishment</w:t>
            </w:r>
          </w:p>
        </w:tc>
        <w:tc>
          <w:tcPr>
            <w:tcW w:w="2379" w:type="pct"/>
            <w:gridSpan w:val="3"/>
            <w:tcBorders>
              <w:top w:val="single" w:sz="4" w:space="0" w:color="auto"/>
              <w:left w:val="nil"/>
              <w:bottom w:val="single" w:sz="4" w:space="0" w:color="auto"/>
              <w:right w:val="nil"/>
            </w:tcBorders>
            <w:shd w:val="clear" w:color="auto" w:fill="92D050"/>
            <w:noWrap/>
            <w:vAlign w:val="center"/>
            <w:hideMark/>
          </w:tcPr>
          <w:p w14:paraId="7766BC41" w14:textId="7B4E5FF0" w:rsidR="002F2DA4" w:rsidRPr="002F2DA4" w:rsidRDefault="002F2DA4" w:rsidP="002F2DA4">
            <w:pPr>
              <w:spacing w:after="0" w:line="240" w:lineRule="auto"/>
              <w:jc w:val="center"/>
              <w:rPr>
                <w:rFonts w:eastAsia="Times New Roman" w:cstheme="minorHAnsi"/>
                <w:b/>
                <w:bCs/>
                <w:color w:val="000000"/>
                <w:lang w:eastAsia="en-GB"/>
              </w:rPr>
            </w:pPr>
            <w:r w:rsidRPr="002F2DA4">
              <w:rPr>
                <w:rFonts w:eastAsia="Times New Roman" w:cstheme="minorHAnsi"/>
                <w:b/>
                <w:bCs/>
                <w:color w:val="000000"/>
                <w:lang w:eastAsia="en-GB"/>
              </w:rPr>
              <w:t>Gender</w:t>
            </w:r>
          </w:p>
        </w:tc>
      </w:tr>
      <w:tr w:rsidR="00B5268C" w:rsidRPr="002F2DA4" w14:paraId="225B2AE6" w14:textId="77777777" w:rsidTr="00B5268C">
        <w:trPr>
          <w:trHeight w:val="288"/>
        </w:trPr>
        <w:tc>
          <w:tcPr>
            <w:tcW w:w="2621" w:type="pct"/>
            <w:tcBorders>
              <w:top w:val="single" w:sz="4" w:space="0" w:color="auto"/>
              <w:left w:val="nil"/>
              <w:bottom w:val="single" w:sz="4" w:space="0" w:color="auto"/>
              <w:right w:val="nil"/>
            </w:tcBorders>
            <w:shd w:val="clear" w:color="auto" w:fill="92D050"/>
            <w:noWrap/>
            <w:vAlign w:val="center"/>
            <w:hideMark/>
          </w:tcPr>
          <w:p w14:paraId="2D433C13" w14:textId="77777777" w:rsidR="002F2DA4" w:rsidRPr="002F2DA4" w:rsidRDefault="002F2DA4" w:rsidP="002F2DA4">
            <w:pPr>
              <w:spacing w:after="0" w:line="240" w:lineRule="auto"/>
              <w:rPr>
                <w:rFonts w:eastAsia="Times New Roman" w:cstheme="minorHAnsi"/>
                <w:b/>
                <w:bCs/>
                <w:color w:val="000000"/>
                <w:lang w:eastAsia="en-GB"/>
              </w:rPr>
            </w:pPr>
            <w:r w:rsidRPr="002F2DA4">
              <w:rPr>
                <w:rFonts w:eastAsia="Times New Roman" w:cstheme="minorHAnsi"/>
                <w:b/>
                <w:bCs/>
                <w:color w:val="000000"/>
                <w:lang w:eastAsia="en-GB"/>
              </w:rPr>
              <w:t>Establishment</w:t>
            </w:r>
          </w:p>
        </w:tc>
        <w:tc>
          <w:tcPr>
            <w:tcW w:w="687" w:type="pct"/>
            <w:tcBorders>
              <w:top w:val="single" w:sz="4" w:space="0" w:color="auto"/>
              <w:left w:val="nil"/>
              <w:bottom w:val="single" w:sz="4" w:space="0" w:color="auto"/>
              <w:right w:val="nil"/>
            </w:tcBorders>
            <w:shd w:val="clear" w:color="auto" w:fill="92D050"/>
            <w:noWrap/>
            <w:vAlign w:val="center"/>
            <w:hideMark/>
          </w:tcPr>
          <w:p w14:paraId="0764633F" w14:textId="77777777" w:rsidR="002F2DA4" w:rsidRPr="002F2DA4" w:rsidRDefault="002F2DA4" w:rsidP="002F2DA4">
            <w:pPr>
              <w:spacing w:after="0" w:line="240" w:lineRule="auto"/>
              <w:jc w:val="center"/>
              <w:rPr>
                <w:rFonts w:eastAsia="Times New Roman" w:cstheme="minorHAnsi"/>
                <w:b/>
                <w:bCs/>
                <w:color w:val="000000"/>
                <w:lang w:eastAsia="en-GB"/>
              </w:rPr>
            </w:pPr>
            <w:r w:rsidRPr="002F2DA4">
              <w:rPr>
                <w:rFonts w:eastAsia="Times New Roman" w:cstheme="minorHAnsi"/>
                <w:b/>
                <w:bCs/>
                <w:color w:val="000000"/>
                <w:lang w:eastAsia="en-GB"/>
              </w:rPr>
              <w:t>Male</w:t>
            </w:r>
          </w:p>
        </w:tc>
        <w:tc>
          <w:tcPr>
            <w:tcW w:w="687" w:type="pct"/>
            <w:tcBorders>
              <w:top w:val="single" w:sz="4" w:space="0" w:color="auto"/>
              <w:left w:val="nil"/>
              <w:bottom w:val="single" w:sz="4" w:space="0" w:color="auto"/>
              <w:right w:val="nil"/>
            </w:tcBorders>
            <w:shd w:val="clear" w:color="auto" w:fill="92D050"/>
            <w:noWrap/>
            <w:vAlign w:val="center"/>
            <w:hideMark/>
          </w:tcPr>
          <w:p w14:paraId="31402029" w14:textId="77777777" w:rsidR="002F2DA4" w:rsidRPr="002F2DA4" w:rsidRDefault="002F2DA4" w:rsidP="002F2DA4">
            <w:pPr>
              <w:spacing w:after="0" w:line="240" w:lineRule="auto"/>
              <w:jc w:val="center"/>
              <w:rPr>
                <w:rFonts w:eastAsia="Times New Roman" w:cstheme="minorHAnsi"/>
                <w:b/>
                <w:bCs/>
                <w:color w:val="000000"/>
                <w:lang w:eastAsia="en-GB"/>
              </w:rPr>
            </w:pPr>
            <w:r w:rsidRPr="002F2DA4">
              <w:rPr>
                <w:rFonts w:eastAsia="Times New Roman" w:cstheme="minorHAnsi"/>
                <w:b/>
                <w:bCs/>
                <w:color w:val="000000"/>
                <w:lang w:eastAsia="en-GB"/>
              </w:rPr>
              <w:t>Female</w:t>
            </w:r>
          </w:p>
        </w:tc>
        <w:tc>
          <w:tcPr>
            <w:tcW w:w="1005" w:type="pct"/>
            <w:tcBorders>
              <w:top w:val="single" w:sz="4" w:space="0" w:color="auto"/>
              <w:left w:val="nil"/>
              <w:bottom w:val="single" w:sz="4" w:space="0" w:color="auto"/>
              <w:right w:val="nil"/>
            </w:tcBorders>
            <w:shd w:val="clear" w:color="auto" w:fill="92D050"/>
            <w:noWrap/>
            <w:vAlign w:val="center"/>
            <w:hideMark/>
          </w:tcPr>
          <w:p w14:paraId="041E882F" w14:textId="77777777" w:rsidR="002F2DA4" w:rsidRPr="002F2DA4" w:rsidRDefault="002F2DA4" w:rsidP="002F2DA4">
            <w:pPr>
              <w:spacing w:after="0" w:line="240" w:lineRule="auto"/>
              <w:jc w:val="center"/>
              <w:rPr>
                <w:rFonts w:eastAsia="Times New Roman" w:cstheme="minorHAnsi"/>
                <w:b/>
                <w:bCs/>
                <w:color w:val="000000"/>
                <w:lang w:eastAsia="en-GB"/>
              </w:rPr>
            </w:pPr>
            <w:r w:rsidRPr="002F2DA4">
              <w:rPr>
                <w:rFonts w:eastAsia="Times New Roman" w:cstheme="minorHAnsi"/>
                <w:b/>
                <w:bCs/>
                <w:color w:val="000000"/>
                <w:lang w:eastAsia="en-GB"/>
              </w:rPr>
              <w:t>Grand Total</w:t>
            </w:r>
          </w:p>
        </w:tc>
      </w:tr>
      <w:tr w:rsidR="001666BE" w:rsidRPr="002F2DA4" w14:paraId="040F5A1E"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1E897965" w14:textId="1314561C" w:rsidR="001666BE" w:rsidRPr="002F2DA4" w:rsidRDefault="002B197C" w:rsidP="001666BE">
            <w:pPr>
              <w:spacing w:after="0" w:line="240" w:lineRule="auto"/>
              <w:rPr>
                <w:rFonts w:eastAsia="Times New Roman" w:cstheme="minorHAnsi"/>
                <w:color w:val="000000"/>
                <w:lang w:eastAsia="en-GB"/>
              </w:rPr>
            </w:pPr>
            <w:r>
              <w:rPr>
                <w:rFonts w:eastAsia="Times New Roman" w:cstheme="minorHAnsi"/>
                <w:color w:val="000000"/>
                <w:lang w:eastAsia="en-GB"/>
              </w:rPr>
              <w:t>Batley Parish CE</w:t>
            </w:r>
            <w:r w:rsidR="00C70339">
              <w:rPr>
                <w:rFonts w:eastAsia="Times New Roman" w:cstheme="minorHAnsi"/>
                <w:color w:val="000000"/>
                <w:lang w:eastAsia="en-GB"/>
              </w:rPr>
              <w:t xml:space="preserve"> Academy</w:t>
            </w:r>
          </w:p>
        </w:tc>
        <w:tc>
          <w:tcPr>
            <w:tcW w:w="687" w:type="pct"/>
            <w:tcBorders>
              <w:top w:val="nil"/>
              <w:left w:val="nil"/>
              <w:bottom w:val="single" w:sz="4" w:space="0" w:color="auto"/>
              <w:right w:val="nil"/>
            </w:tcBorders>
            <w:shd w:val="clear" w:color="auto" w:fill="auto"/>
            <w:noWrap/>
            <w:vAlign w:val="center"/>
            <w:hideMark/>
          </w:tcPr>
          <w:p w14:paraId="1B02E83E" w14:textId="6CA9CD70" w:rsidR="001666BE" w:rsidRPr="00445968"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4</w:t>
            </w:r>
          </w:p>
        </w:tc>
        <w:tc>
          <w:tcPr>
            <w:tcW w:w="687" w:type="pct"/>
            <w:tcBorders>
              <w:top w:val="nil"/>
              <w:left w:val="nil"/>
              <w:bottom w:val="single" w:sz="4" w:space="0" w:color="auto"/>
              <w:right w:val="nil"/>
            </w:tcBorders>
            <w:shd w:val="clear" w:color="auto" w:fill="auto"/>
            <w:noWrap/>
            <w:vAlign w:val="center"/>
            <w:hideMark/>
          </w:tcPr>
          <w:p w14:paraId="5994501D" w14:textId="702BAA54" w:rsidR="001666BE" w:rsidRPr="00445968"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29</w:t>
            </w:r>
          </w:p>
        </w:tc>
        <w:tc>
          <w:tcPr>
            <w:tcW w:w="1005" w:type="pct"/>
            <w:tcBorders>
              <w:top w:val="nil"/>
              <w:left w:val="nil"/>
              <w:bottom w:val="single" w:sz="4" w:space="0" w:color="auto"/>
              <w:right w:val="nil"/>
            </w:tcBorders>
            <w:shd w:val="clear" w:color="auto" w:fill="auto"/>
            <w:noWrap/>
            <w:vAlign w:val="center"/>
            <w:hideMark/>
          </w:tcPr>
          <w:p w14:paraId="29D24E37" w14:textId="60F325A9"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3</w:t>
            </w:r>
            <w:r w:rsidR="002B197C">
              <w:rPr>
                <w:rFonts w:eastAsia="Times New Roman" w:cstheme="minorHAnsi"/>
                <w:b/>
                <w:color w:val="000000"/>
                <w:lang w:eastAsia="en-GB"/>
              </w:rPr>
              <w:t>3</w:t>
            </w:r>
          </w:p>
        </w:tc>
      </w:tr>
      <w:tr w:rsidR="002B197C" w:rsidRPr="002F2DA4" w14:paraId="37AF01B1" w14:textId="77777777" w:rsidTr="002F2DA4">
        <w:trPr>
          <w:trHeight w:val="288"/>
        </w:trPr>
        <w:tc>
          <w:tcPr>
            <w:tcW w:w="2621" w:type="pct"/>
            <w:tcBorders>
              <w:top w:val="nil"/>
              <w:left w:val="nil"/>
              <w:bottom w:val="single" w:sz="4" w:space="0" w:color="auto"/>
              <w:right w:val="nil"/>
            </w:tcBorders>
            <w:shd w:val="clear" w:color="auto" w:fill="auto"/>
            <w:noWrap/>
            <w:vAlign w:val="center"/>
          </w:tcPr>
          <w:p w14:paraId="6E4EA4CA" w14:textId="080672EB" w:rsidR="002B197C" w:rsidRPr="002F2DA4" w:rsidRDefault="002B197C" w:rsidP="001666BE">
            <w:pPr>
              <w:spacing w:after="0" w:line="240" w:lineRule="auto"/>
              <w:rPr>
                <w:rFonts w:eastAsia="Times New Roman" w:cstheme="minorHAnsi"/>
                <w:color w:val="000000"/>
                <w:lang w:eastAsia="en-GB"/>
              </w:rPr>
            </w:pPr>
            <w:r>
              <w:rPr>
                <w:rFonts w:eastAsia="Times New Roman" w:cstheme="minorHAnsi"/>
                <w:color w:val="000000"/>
                <w:lang w:eastAsia="en-GB"/>
              </w:rPr>
              <w:t>CAPA College</w:t>
            </w:r>
          </w:p>
        </w:tc>
        <w:tc>
          <w:tcPr>
            <w:tcW w:w="687" w:type="pct"/>
            <w:tcBorders>
              <w:top w:val="nil"/>
              <w:left w:val="nil"/>
              <w:bottom w:val="single" w:sz="4" w:space="0" w:color="auto"/>
              <w:right w:val="nil"/>
            </w:tcBorders>
            <w:shd w:val="clear" w:color="auto" w:fill="auto"/>
            <w:noWrap/>
            <w:vAlign w:val="center"/>
          </w:tcPr>
          <w:p w14:paraId="5A14C8BA" w14:textId="35401DDE" w:rsidR="002B197C"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14</w:t>
            </w:r>
          </w:p>
        </w:tc>
        <w:tc>
          <w:tcPr>
            <w:tcW w:w="687" w:type="pct"/>
            <w:tcBorders>
              <w:top w:val="nil"/>
              <w:left w:val="nil"/>
              <w:bottom w:val="single" w:sz="4" w:space="0" w:color="auto"/>
              <w:right w:val="nil"/>
            </w:tcBorders>
            <w:shd w:val="clear" w:color="auto" w:fill="auto"/>
            <w:noWrap/>
            <w:vAlign w:val="center"/>
          </w:tcPr>
          <w:p w14:paraId="6A655E69" w14:textId="19D24692" w:rsidR="002B197C"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21</w:t>
            </w:r>
          </w:p>
        </w:tc>
        <w:tc>
          <w:tcPr>
            <w:tcW w:w="1005" w:type="pct"/>
            <w:tcBorders>
              <w:top w:val="nil"/>
              <w:left w:val="nil"/>
              <w:bottom w:val="single" w:sz="4" w:space="0" w:color="auto"/>
              <w:right w:val="nil"/>
            </w:tcBorders>
            <w:shd w:val="clear" w:color="auto" w:fill="auto"/>
            <w:noWrap/>
            <w:vAlign w:val="center"/>
          </w:tcPr>
          <w:p w14:paraId="4DE3CFFD" w14:textId="5691D212" w:rsidR="002B197C"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35</w:t>
            </w:r>
          </w:p>
        </w:tc>
      </w:tr>
      <w:tr w:rsidR="001666BE" w:rsidRPr="002F2DA4" w14:paraId="09F81C07"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5C00E4F9"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Christ Church Academy</w:t>
            </w:r>
          </w:p>
        </w:tc>
        <w:tc>
          <w:tcPr>
            <w:tcW w:w="687" w:type="pct"/>
            <w:tcBorders>
              <w:top w:val="nil"/>
              <w:left w:val="nil"/>
              <w:bottom w:val="single" w:sz="4" w:space="0" w:color="auto"/>
              <w:right w:val="nil"/>
            </w:tcBorders>
            <w:shd w:val="clear" w:color="auto" w:fill="auto"/>
            <w:noWrap/>
            <w:vAlign w:val="center"/>
            <w:hideMark/>
          </w:tcPr>
          <w:p w14:paraId="295D0784" w14:textId="11162A9D" w:rsidR="001666BE" w:rsidRPr="00445968"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87" w:type="pct"/>
            <w:tcBorders>
              <w:top w:val="nil"/>
              <w:left w:val="nil"/>
              <w:bottom w:val="single" w:sz="4" w:space="0" w:color="auto"/>
              <w:right w:val="nil"/>
            </w:tcBorders>
            <w:shd w:val="clear" w:color="auto" w:fill="auto"/>
            <w:noWrap/>
            <w:vAlign w:val="center"/>
            <w:hideMark/>
          </w:tcPr>
          <w:p w14:paraId="70F60B5F" w14:textId="28A53963" w:rsidR="001666BE" w:rsidRPr="00445968"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34</w:t>
            </w:r>
          </w:p>
        </w:tc>
        <w:tc>
          <w:tcPr>
            <w:tcW w:w="1005" w:type="pct"/>
            <w:tcBorders>
              <w:top w:val="nil"/>
              <w:left w:val="nil"/>
              <w:bottom w:val="single" w:sz="4" w:space="0" w:color="auto"/>
              <w:right w:val="nil"/>
            </w:tcBorders>
            <w:shd w:val="clear" w:color="auto" w:fill="auto"/>
            <w:noWrap/>
            <w:vAlign w:val="center"/>
            <w:hideMark/>
          </w:tcPr>
          <w:p w14:paraId="2A1F3319" w14:textId="522063C1" w:rsidR="001666BE" w:rsidRPr="00445968"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36</w:t>
            </w:r>
          </w:p>
        </w:tc>
      </w:tr>
      <w:tr w:rsidR="001666BE" w:rsidRPr="002F2DA4" w14:paraId="39253B5B"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0E57F922"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Diamond Wood Academy</w:t>
            </w:r>
          </w:p>
        </w:tc>
        <w:tc>
          <w:tcPr>
            <w:tcW w:w="687" w:type="pct"/>
            <w:tcBorders>
              <w:top w:val="nil"/>
              <w:left w:val="nil"/>
              <w:bottom w:val="single" w:sz="4" w:space="0" w:color="auto"/>
              <w:right w:val="nil"/>
            </w:tcBorders>
            <w:shd w:val="clear" w:color="auto" w:fill="auto"/>
            <w:noWrap/>
            <w:vAlign w:val="center"/>
            <w:hideMark/>
          </w:tcPr>
          <w:p w14:paraId="5FFD56DB" w14:textId="668C7E3C"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87" w:type="pct"/>
            <w:tcBorders>
              <w:top w:val="nil"/>
              <w:left w:val="nil"/>
              <w:bottom w:val="single" w:sz="4" w:space="0" w:color="auto"/>
              <w:right w:val="nil"/>
            </w:tcBorders>
            <w:shd w:val="clear" w:color="auto" w:fill="auto"/>
            <w:noWrap/>
            <w:vAlign w:val="center"/>
            <w:hideMark/>
          </w:tcPr>
          <w:p w14:paraId="14F9F0AB" w14:textId="6F8DBDE3" w:rsidR="001666BE" w:rsidRPr="00445968" w:rsidRDefault="001E5E98" w:rsidP="001666BE">
            <w:pPr>
              <w:spacing w:after="0" w:line="240" w:lineRule="auto"/>
              <w:jc w:val="center"/>
              <w:rPr>
                <w:rFonts w:eastAsia="Times New Roman" w:cstheme="minorHAnsi"/>
                <w:b/>
                <w:color w:val="000000"/>
                <w:lang w:eastAsia="en-GB"/>
              </w:rPr>
            </w:pPr>
            <w:r>
              <w:rPr>
                <w:rFonts w:ascii="Trebuchet MS" w:hAnsi="Trebuchet MS" w:cs="Calibri"/>
                <w:b/>
                <w:color w:val="000000"/>
                <w:sz w:val="20"/>
                <w:szCs w:val="20"/>
              </w:rPr>
              <w:t>6</w:t>
            </w:r>
            <w:r w:rsidR="002B197C">
              <w:rPr>
                <w:rFonts w:ascii="Trebuchet MS" w:hAnsi="Trebuchet MS" w:cs="Calibri"/>
                <w:b/>
                <w:color w:val="000000"/>
                <w:sz w:val="20"/>
                <w:szCs w:val="20"/>
              </w:rPr>
              <w:t>0</w:t>
            </w:r>
          </w:p>
        </w:tc>
        <w:tc>
          <w:tcPr>
            <w:tcW w:w="1005" w:type="pct"/>
            <w:tcBorders>
              <w:top w:val="nil"/>
              <w:left w:val="nil"/>
              <w:bottom w:val="single" w:sz="4" w:space="0" w:color="auto"/>
              <w:right w:val="nil"/>
            </w:tcBorders>
            <w:shd w:val="clear" w:color="auto" w:fill="auto"/>
            <w:noWrap/>
            <w:vAlign w:val="center"/>
            <w:hideMark/>
          </w:tcPr>
          <w:p w14:paraId="5392932E" w14:textId="2FE2561E"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6</w:t>
            </w:r>
            <w:r w:rsidR="002B197C">
              <w:rPr>
                <w:rFonts w:eastAsia="Times New Roman" w:cstheme="minorHAnsi"/>
                <w:b/>
                <w:color w:val="000000"/>
                <w:lang w:eastAsia="en-GB"/>
              </w:rPr>
              <w:t>2</w:t>
            </w:r>
          </w:p>
        </w:tc>
      </w:tr>
      <w:tr w:rsidR="001666BE" w:rsidRPr="002F2DA4" w14:paraId="2B675251"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6462DE42"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Enhance HQ</w:t>
            </w:r>
          </w:p>
        </w:tc>
        <w:tc>
          <w:tcPr>
            <w:tcW w:w="687" w:type="pct"/>
            <w:tcBorders>
              <w:top w:val="nil"/>
              <w:left w:val="nil"/>
              <w:bottom w:val="single" w:sz="4" w:space="0" w:color="auto"/>
              <w:right w:val="nil"/>
            </w:tcBorders>
            <w:shd w:val="clear" w:color="auto" w:fill="auto"/>
            <w:noWrap/>
            <w:vAlign w:val="center"/>
            <w:hideMark/>
          </w:tcPr>
          <w:p w14:paraId="3FF57FC4" w14:textId="5F944403" w:rsidR="001666BE" w:rsidRPr="00445968"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5</w:t>
            </w:r>
          </w:p>
        </w:tc>
        <w:tc>
          <w:tcPr>
            <w:tcW w:w="687" w:type="pct"/>
            <w:tcBorders>
              <w:top w:val="nil"/>
              <w:left w:val="nil"/>
              <w:bottom w:val="single" w:sz="4" w:space="0" w:color="auto"/>
              <w:right w:val="nil"/>
            </w:tcBorders>
            <w:shd w:val="clear" w:color="auto" w:fill="auto"/>
            <w:noWrap/>
            <w:vAlign w:val="center"/>
            <w:hideMark/>
          </w:tcPr>
          <w:p w14:paraId="48334A5C" w14:textId="2820C2A8" w:rsidR="001666BE" w:rsidRPr="00445968"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4</w:t>
            </w:r>
          </w:p>
        </w:tc>
        <w:tc>
          <w:tcPr>
            <w:tcW w:w="1005" w:type="pct"/>
            <w:tcBorders>
              <w:top w:val="nil"/>
              <w:left w:val="nil"/>
              <w:bottom w:val="single" w:sz="4" w:space="0" w:color="auto"/>
              <w:right w:val="nil"/>
            </w:tcBorders>
            <w:shd w:val="clear" w:color="auto" w:fill="auto"/>
            <w:noWrap/>
            <w:vAlign w:val="center"/>
            <w:hideMark/>
          </w:tcPr>
          <w:p w14:paraId="72B88230" w14:textId="0AD4E832" w:rsidR="001666BE" w:rsidRPr="00445968"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9</w:t>
            </w:r>
          </w:p>
        </w:tc>
      </w:tr>
      <w:tr w:rsidR="001666BE" w:rsidRPr="002F2DA4" w14:paraId="3C3B8CFA"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35CDB00A"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Featherstone All Saints CE Academy</w:t>
            </w:r>
          </w:p>
        </w:tc>
        <w:tc>
          <w:tcPr>
            <w:tcW w:w="687" w:type="pct"/>
            <w:tcBorders>
              <w:top w:val="nil"/>
              <w:left w:val="nil"/>
              <w:bottom w:val="single" w:sz="4" w:space="0" w:color="auto"/>
              <w:right w:val="nil"/>
            </w:tcBorders>
            <w:shd w:val="clear" w:color="auto" w:fill="auto"/>
            <w:noWrap/>
            <w:vAlign w:val="center"/>
            <w:hideMark/>
          </w:tcPr>
          <w:p w14:paraId="2EE73578" w14:textId="3C5B15E9" w:rsidR="001666BE" w:rsidRPr="00445968"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0</w:t>
            </w:r>
          </w:p>
        </w:tc>
        <w:tc>
          <w:tcPr>
            <w:tcW w:w="687" w:type="pct"/>
            <w:tcBorders>
              <w:top w:val="nil"/>
              <w:left w:val="nil"/>
              <w:bottom w:val="single" w:sz="4" w:space="0" w:color="auto"/>
              <w:right w:val="nil"/>
            </w:tcBorders>
            <w:shd w:val="clear" w:color="auto" w:fill="auto"/>
            <w:noWrap/>
            <w:vAlign w:val="center"/>
            <w:hideMark/>
          </w:tcPr>
          <w:p w14:paraId="76FAFB28" w14:textId="1599AC6D" w:rsidR="001666BE" w:rsidRPr="00445968" w:rsidRDefault="001666BE" w:rsidP="001666BE">
            <w:pPr>
              <w:spacing w:after="0" w:line="240" w:lineRule="auto"/>
              <w:jc w:val="center"/>
              <w:rPr>
                <w:rFonts w:eastAsia="Times New Roman" w:cstheme="minorHAnsi"/>
                <w:b/>
                <w:color w:val="000000"/>
                <w:lang w:eastAsia="en-GB"/>
              </w:rPr>
            </w:pPr>
            <w:r w:rsidRPr="00445968">
              <w:rPr>
                <w:rFonts w:ascii="Trebuchet MS" w:hAnsi="Trebuchet MS" w:cs="Calibri"/>
                <w:b/>
                <w:color w:val="000000"/>
                <w:sz w:val="20"/>
                <w:szCs w:val="20"/>
              </w:rPr>
              <w:t>3</w:t>
            </w:r>
            <w:r w:rsidR="001E5E98">
              <w:rPr>
                <w:rFonts w:ascii="Trebuchet MS" w:hAnsi="Trebuchet MS" w:cs="Calibri"/>
                <w:b/>
                <w:color w:val="000000"/>
                <w:sz w:val="20"/>
                <w:szCs w:val="20"/>
              </w:rPr>
              <w:t>2</w:t>
            </w:r>
          </w:p>
        </w:tc>
        <w:tc>
          <w:tcPr>
            <w:tcW w:w="1005" w:type="pct"/>
            <w:tcBorders>
              <w:top w:val="nil"/>
              <w:left w:val="nil"/>
              <w:bottom w:val="single" w:sz="4" w:space="0" w:color="auto"/>
              <w:right w:val="nil"/>
            </w:tcBorders>
            <w:shd w:val="clear" w:color="auto" w:fill="auto"/>
            <w:noWrap/>
            <w:vAlign w:val="center"/>
            <w:hideMark/>
          </w:tcPr>
          <w:p w14:paraId="15822113" w14:textId="5E73C4C7" w:rsidR="001666BE" w:rsidRPr="00445968" w:rsidRDefault="001E5E98" w:rsidP="001666BE">
            <w:pPr>
              <w:spacing w:after="0" w:line="240" w:lineRule="auto"/>
              <w:jc w:val="center"/>
              <w:rPr>
                <w:rFonts w:eastAsia="Times New Roman" w:cstheme="minorHAnsi"/>
                <w:b/>
                <w:color w:val="000000"/>
                <w:lang w:eastAsia="en-GB"/>
              </w:rPr>
            </w:pPr>
            <w:r>
              <w:rPr>
                <w:rFonts w:ascii="Trebuchet MS" w:hAnsi="Trebuchet MS" w:cs="Calibri"/>
                <w:b/>
                <w:color w:val="000000"/>
                <w:sz w:val="20"/>
                <w:szCs w:val="20"/>
              </w:rPr>
              <w:t>3</w:t>
            </w:r>
            <w:r w:rsidR="002B197C">
              <w:rPr>
                <w:rFonts w:ascii="Trebuchet MS" w:hAnsi="Trebuchet MS" w:cs="Calibri"/>
                <w:b/>
                <w:color w:val="000000"/>
                <w:sz w:val="20"/>
                <w:szCs w:val="20"/>
              </w:rPr>
              <w:t>2</w:t>
            </w:r>
          </w:p>
        </w:tc>
      </w:tr>
      <w:tr w:rsidR="002B197C" w:rsidRPr="002F2DA4" w14:paraId="284EC08A" w14:textId="77777777" w:rsidTr="002F2DA4">
        <w:trPr>
          <w:trHeight w:val="288"/>
        </w:trPr>
        <w:tc>
          <w:tcPr>
            <w:tcW w:w="2621" w:type="pct"/>
            <w:tcBorders>
              <w:top w:val="nil"/>
              <w:left w:val="nil"/>
              <w:bottom w:val="single" w:sz="4" w:space="0" w:color="auto"/>
              <w:right w:val="nil"/>
            </w:tcBorders>
            <w:shd w:val="clear" w:color="auto" w:fill="auto"/>
            <w:noWrap/>
            <w:vAlign w:val="center"/>
          </w:tcPr>
          <w:p w14:paraId="5A8B098B" w14:textId="65A1FC0F" w:rsidR="002B197C" w:rsidRPr="002F2DA4" w:rsidRDefault="002B197C" w:rsidP="001666BE">
            <w:pPr>
              <w:spacing w:after="0" w:line="240" w:lineRule="auto"/>
              <w:rPr>
                <w:rFonts w:eastAsia="Times New Roman" w:cstheme="minorHAnsi"/>
                <w:color w:val="000000"/>
                <w:lang w:eastAsia="en-GB"/>
              </w:rPr>
            </w:pPr>
            <w:proofErr w:type="spellStart"/>
            <w:r>
              <w:rPr>
                <w:rFonts w:eastAsia="Times New Roman" w:cstheme="minorHAnsi"/>
                <w:color w:val="000000"/>
                <w:lang w:eastAsia="en-GB"/>
              </w:rPr>
              <w:t>Highburton</w:t>
            </w:r>
            <w:proofErr w:type="spellEnd"/>
            <w:r>
              <w:rPr>
                <w:rFonts w:eastAsia="Times New Roman" w:cstheme="minorHAnsi"/>
                <w:color w:val="000000"/>
                <w:lang w:eastAsia="en-GB"/>
              </w:rPr>
              <w:t xml:space="preserve"> First School Academy</w:t>
            </w:r>
          </w:p>
        </w:tc>
        <w:tc>
          <w:tcPr>
            <w:tcW w:w="687" w:type="pct"/>
            <w:tcBorders>
              <w:top w:val="nil"/>
              <w:left w:val="nil"/>
              <w:bottom w:val="single" w:sz="4" w:space="0" w:color="auto"/>
              <w:right w:val="nil"/>
            </w:tcBorders>
            <w:shd w:val="clear" w:color="auto" w:fill="auto"/>
            <w:noWrap/>
            <w:vAlign w:val="center"/>
          </w:tcPr>
          <w:p w14:paraId="22F9F4E9" w14:textId="124FC85C" w:rsidR="002B197C" w:rsidRDefault="002B197C"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87" w:type="pct"/>
            <w:tcBorders>
              <w:top w:val="nil"/>
              <w:left w:val="nil"/>
              <w:bottom w:val="single" w:sz="4" w:space="0" w:color="auto"/>
              <w:right w:val="nil"/>
            </w:tcBorders>
            <w:shd w:val="clear" w:color="auto" w:fill="auto"/>
            <w:noWrap/>
            <w:vAlign w:val="center"/>
          </w:tcPr>
          <w:p w14:paraId="6A355932" w14:textId="60548ACE" w:rsidR="002B197C" w:rsidRPr="00445968" w:rsidRDefault="002B197C" w:rsidP="001666BE">
            <w:pPr>
              <w:spacing w:after="0" w:line="240" w:lineRule="auto"/>
              <w:jc w:val="center"/>
              <w:rPr>
                <w:rFonts w:ascii="Trebuchet MS" w:hAnsi="Trebuchet MS" w:cs="Calibri"/>
                <w:b/>
                <w:color w:val="000000"/>
                <w:sz w:val="20"/>
                <w:szCs w:val="20"/>
              </w:rPr>
            </w:pPr>
            <w:r>
              <w:rPr>
                <w:rFonts w:ascii="Trebuchet MS" w:hAnsi="Trebuchet MS" w:cs="Calibri"/>
                <w:b/>
                <w:color w:val="000000"/>
                <w:sz w:val="20"/>
                <w:szCs w:val="20"/>
              </w:rPr>
              <w:t>16</w:t>
            </w:r>
          </w:p>
        </w:tc>
        <w:tc>
          <w:tcPr>
            <w:tcW w:w="1005" w:type="pct"/>
            <w:tcBorders>
              <w:top w:val="nil"/>
              <w:left w:val="nil"/>
              <w:bottom w:val="single" w:sz="4" w:space="0" w:color="auto"/>
              <w:right w:val="nil"/>
            </w:tcBorders>
            <w:shd w:val="clear" w:color="auto" w:fill="auto"/>
            <w:noWrap/>
            <w:vAlign w:val="center"/>
          </w:tcPr>
          <w:p w14:paraId="1BABC91B" w14:textId="7B24BECC" w:rsidR="002B197C" w:rsidRDefault="002B197C" w:rsidP="001666BE">
            <w:pPr>
              <w:spacing w:after="0" w:line="240" w:lineRule="auto"/>
              <w:jc w:val="center"/>
              <w:rPr>
                <w:rFonts w:ascii="Trebuchet MS" w:hAnsi="Trebuchet MS" w:cs="Calibri"/>
                <w:b/>
                <w:color w:val="000000"/>
                <w:sz w:val="20"/>
                <w:szCs w:val="20"/>
              </w:rPr>
            </w:pPr>
            <w:r>
              <w:rPr>
                <w:rFonts w:ascii="Trebuchet MS" w:hAnsi="Trebuchet MS" w:cs="Calibri"/>
                <w:b/>
                <w:color w:val="000000"/>
                <w:sz w:val="20"/>
                <w:szCs w:val="20"/>
              </w:rPr>
              <w:t>18</w:t>
            </w:r>
          </w:p>
        </w:tc>
      </w:tr>
      <w:tr w:rsidR="002B197C" w:rsidRPr="002F2DA4" w14:paraId="158940D2" w14:textId="77777777" w:rsidTr="002F2DA4">
        <w:trPr>
          <w:trHeight w:val="288"/>
        </w:trPr>
        <w:tc>
          <w:tcPr>
            <w:tcW w:w="2621" w:type="pct"/>
            <w:tcBorders>
              <w:top w:val="nil"/>
              <w:left w:val="nil"/>
              <w:bottom w:val="single" w:sz="4" w:space="0" w:color="auto"/>
              <w:right w:val="nil"/>
            </w:tcBorders>
            <w:shd w:val="clear" w:color="auto" w:fill="auto"/>
            <w:noWrap/>
            <w:vAlign w:val="center"/>
          </w:tcPr>
          <w:p w14:paraId="0751E1C2" w14:textId="01AA7E29" w:rsidR="002B197C" w:rsidRPr="002F2DA4" w:rsidRDefault="002B197C" w:rsidP="001666BE">
            <w:pPr>
              <w:spacing w:after="0" w:line="240" w:lineRule="auto"/>
              <w:rPr>
                <w:rFonts w:eastAsia="Times New Roman" w:cstheme="minorHAnsi"/>
                <w:color w:val="000000"/>
                <w:lang w:eastAsia="en-GB"/>
              </w:rPr>
            </w:pPr>
            <w:r>
              <w:rPr>
                <w:rFonts w:eastAsia="Times New Roman" w:cstheme="minorHAnsi"/>
                <w:color w:val="000000"/>
                <w:lang w:eastAsia="en-GB"/>
              </w:rPr>
              <w:t xml:space="preserve">Horbury Bridge </w:t>
            </w:r>
            <w:r w:rsidR="00C70339">
              <w:rPr>
                <w:rFonts w:eastAsia="Times New Roman" w:cstheme="minorHAnsi"/>
                <w:color w:val="000000"/>
                <w:lang w:eastAsia="en-GB"/>
              </w:rPr>
              <w:t>CE Academy</w:t>
            </w:r>
          </w:p>
        </w:tc>
        <w:tc>
          <w:tcPr>
            <w:tcW w:w="687" w:type="pct"/>
            <w:tcBorders>
              <w:top w:val="nil"/>
              <w:left w:val="nil"/>
              <w:bottom w:val="single" w:sz="4" w:space="0" w:color="auto"/>
              <w:right w:val="nil"/>
            </w:tcBorders>
            <w:shd w:val="clear" w:color="auto" w:fill="auto"/>
            <w:noWrap/>
            <w:vAlign w:val="center"/>
          </w:tcPr>
          <w:p w14:paraId="6B4E8B58" w14:textId="0E383C61" w:rsidR="002B197C"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87" w:type="pct"/>
            <w:tcBorders>
              <w:top w:val="nil"/>
              <w:left w:val="nil"/>
              <w:bottom w:val="single" w:sz="4" w:space="0" w:color="auto"/>
              <w:right w:val="nil"/>
            </w:tcBorders>
            <w:shd w:val="clear" w:color="auto" w:fill="auto"/>
            <w:noWrap/>
            <w:vAlign w:val="center"/>
          </w:tcPr>
          <w:p w14:paraId="3F448DD4" w14:textId="6FD89820" w:rsidR="002B197C" w:rsidRPr="00445968" w:rsidRDefault="00C70339" w:rsidP="001666BE">
            <w:pPr>
              <w:spacing w:after="0" w:line="240" w:lineRule="auto"/>
              <w:jc w:val="center"/>
              <w:rPr>
                <w:rFonts w:ascii="Trebuchet MS" w:hAnsi="Trebuchet MS" w:cs="Calibri"/>
                <w:b/>
                <w:color w:val="000000"/>
                <w:sz w:val="20"/>
                <w:szCs w:val="20"/>
              </w:rPr>
            </w:pPr>
            <w:r>
              <w:rPr>
                <w:rFonts w:ascii="Trebuchet MS" w:hAnsi="Trebuchet MS" w:cs="Calibri"/>
                <w:b/>
                <w:color w:val="000000"/>
                <w:sz w:val="20"/>
                <w:szCs w:val="20"/>
              </w:rPr>
              <w:t>17</w:t>
            </w:r>
          </w:p>
        </w:tc>
        <w:tc>
          <w:tcPr>
            <w:tcW w:w="1005" w:type="pct"/>
            <w:tcBorders>
              <w:top w:val="nil"/>
              <w:left w:val="nil"/>
              <w:bottom w:val="single" w:sz="4" w:space="0" w:color="auto"/>
              <w:right w:val="nil"/>
            </w:tcBorders>
            <w:shd w:val="clear" w:color="auto" w:fill="auto"/>
            <w:noWrap/>
            <w:vAlign w:val="center"/>
          </w:tcPr>
          <w:p w14:paraId="4401D65B" w14:textId="3596D324" w:rsidR="002B197C" w:rsidRDefault="00C70339" w:rsidP="001666BE">
            <w:pPr>
              <w:spacing w:after="0" w:line="240" w:lineRule="auto"/>
              <w:jc w:val="center"/>
              <w:rPr>
                <w:rFonts w:ascii="Trebuchet MS" w:hAnsi="Trebuchet MS" w:cs="Calibri"/>
                <w:b/>
                <w:color w:val="000000"/>
                <w:sz w:val="20"/>
                <w:szCs w:val="20"/>
              </w:rPr>
            </w:pPr>
            <w:r>
              <w:rPr>
                <w:rFonts w:ascii="Trebuchet MS" w:hAnsi="Trebuchet MS" w:cs="Calibri"/>
                <w:b/>
                <w:color w:val="000000"/>
                <w:sz w:val="20"/>
                <w:szCs w:val="20"/>
              </w:rPr>
              <w:t>19</w:t>
            </w:r>
          </w:p>
        </w:tc>
      </w:tr>
      <w:tr w:rsidR="001666BE" w:rsidRPr="002F2DA4" w14:paraId="6D77EB63"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539C19B4"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Lepton CE Academy</w:t>
            </w:r>
          </w:p>
        </w:tc>
        <w:tc>
          <w:tcPr>
            <w:tcW w:w="687" w:type="pct"/>
            <w:tcBorders>
              <w:top w:val="nil"/>
              <w:left w:val="nil"/>
              <w:bottom w:val="single" w:sz="4" w:space="0" w:color="auto"/>
              <w:right w:val="nil"/>
            </w:tcBorders>
            <w:shd w:val="clear" w:color="auto" w:fill="auto"/>
            <w:noWrap/>
            <w:vAlign w:val="center"/>
            <w:hideMark/>
          </w:tcPr>
          <w:p w14:paraId="2692E1CA" w14:textId="7ECFEA35"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3</w:t>
            </w:r>
          </w:p>
        </w:tc>
        <w:tc>
          <w:tcPr>
            <w:tcW w:w="687" w:type="pct"/>
            <w:tcBorders>
              <w:top w:val="nil"/>
              <w:left w:val="nil"/>
              <w:bottom w:val="single" w:sz="4" w:space="0" w:color="auto"/>
              <w:right w:val="nil"/>
            </w:tcBorders>
            <w:shd w:val="clear" w:color="auto" w:fill="auto"/>
            <w:noWrap/>
            <w:vAlign w:val="center"/>
            <w:hideMark/>
          </w:tcPr>
          <w:p w14:paraId="6BECBC3A" w14:textId="312807CA"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1</w:t>
            </w:r>
            <w:r w:rsidR="00C70339">
              <w:rPr>
                <w:rFonts w:eastAsia="Times New Roman" w:cstheme="minorHAnsi"/>
                <w:b/>
                <w:color w:val="000000"/>
                <w:lang w:eastAsia="en-GB"/>
              </w:rPr>
              <w:t>9</w:t>
            </w:r>
          </w:p>
        </w:tc>
        <w:tc>
          <w:tcPr>
            <w:tcW w:w="1005" w:type="pct"/>
            <w:tcBorders>
              <w:top w:val="nil"/>
              <w:left w:val="nil"/>
              <w:bottom w:val="single" w:sz="4" w:space="0" w:color="auto"/>
              <w:right w:val="nil"/>
            </w:tcBorders>
            <w:shd w:val="clear" w:color="auto" w:fill="auto"/>
            <w:noWrap/>
            <w:vAlign w:val="center"/>
            <w:hideMark/>
          </w:tcPr>
          <w:p w14:paraId="73FDDF99" w14:textId="3FFD725A" w:rsidR="001666BE" w:rsidRPr="00445968" w:rsidRDefault="001E5E98" w:rsidP="001666BE">
            <w:pPr>
              <w:spacing w:after="0" w:line="240" w:lineRule="auto"/>
              <w:jc w:val="center"/>
              <w:rPr>
                <w:rFonts w:eastAsia="Times New Roman" w:cstheme="minorHAnsi"/>
                <w:b/>
                <w:color w:val="000000"/>
                <w:lang w:eastAsia="en-GB"/>
              </w:rPr>
            </w:pPr>
            <w:r>
              <w:rPr>
                <w:rFonts w:ascii="Trebuchet MS" w:hAnsi="Trebuchet MS" w:cs="Calibri"/>
                <w:b/>
                <w:color w:val="000000"/>
                <w:sz w:val="20"/>
                <w:szCs w:val="20"/>
              </w:rPr>
              <w:t>2</w:t>
            </w:r>
            <w:r w:rsidR="00C70339">
              <w:rPr>
                <w:rFonts w:ascii="Trebuchet MS" w:hAnsi="Trebuchet MS" w:cs="Calibri"/>
                <w:b/>
                <w:color w:val="000000"/>
                <w:sz w:val="20"/>
                <w:szCs w:val="20"/>
              </w:rPr>
              <w:t>2</w:t>
            </w:r>
          </w:p>
        </w:tc>
      </w:tr>
      <w:tr w:rsidR="001666BE" w:rsidRPr="002F2DA4" w14:paraId="2901D165"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2C8E2A14" w14:textId="77777777" w:rsidR="001666BE" w:rsidRPr="002F2DA4" w:rsidRDefault="001666BE" w:rsidP="001666BE">
            <w:pPr>
              <w:spacing w:after="0" w:line="240" w:lineRule="auto"/>
              <w:rPr>
                <w:rFonts w:eastAsia="Times New Roman" w:cstheme="minorHAnsi"/>
                <w:color w:val="000000"/>
                <w:lang w:eastAsia="en-GB"/>
              </w:rPr>
            </w:pPr>
            <w:proofErr w:type="spellStart"/>
            <w:r w:rsidRPr="002F2DA4">
              <w:rPr>
                <w:rFonts w:eastAsia="Times New Roman" w:cstheme="minorHAnsi"/>
                <w:color w:val="000000"/>
                <w:lang w:eastAsia="en-GB"/>
              </w:rPr>
              <w:t>Overthorpe</w:t>
            </w:r>
            <w:proofErr w:type="spellEnd"/>
            <w:r w:rsidRPr="002F2DA4">
              <w:rPr>
                <w:rFonts w:eastAsia="Times New Roman" w:cstheme="minorHAnsi"/>
                <w:color w:val="000000"/>
                <w:lang w:eastAsia="en-GB"/>
              </w:rPr>
              <w:t xml:space="preserve"> CE Academy</w:t>
            </w:r>
          </w:p>
        </w:tc>
        <w:tc>
          <w:tcPr>
            <w:tcW w:w="687" w:type="pct"/>
            <w:tcBorders>
              <w:top w:val="nil"/>
              <w:left w:val="nil"/>
              <w:bottom w:val="single" w:sz="4" w:space="0" w:color="auto"/>
              <w:right w:val="nil"/>
            </w:tcBorders>
            <w:shd w:val="clear" w:color="auto" w:fill="auto"/>
            <w:noWrap/>
            <w:vAlign w:val="center"/>
            <w:hideMark/>
          </w:tcPr>
          <w:p w14:paraId="64F11782" w14:textId="459C3992"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6</w:t>
            </w:r>
          </w:p>
        </w:tc>
        <w:tc>
          <w:tcPr>
            <w:tcW w:w="687" w:type="pct"/>
            <w:tcBorders>
              <w:top w:val="nil"/>
              <w:left w:val="nil"/>
              <w:bottom w:val="single" w:sz="4" w:space="0" w:color="auto"/>
              <w:right w:val="nil"/>
            </w:tcBorders>
            <w:shd w:val="clear" w:color="auto" w:fill="auto"/>
            <w:noWrap/>
            <w:vAlign w:val="center"/>
            <w:hideMark/>
          </w:tcPr>
          <w:p w14:paraId="101FB2B1" w14:textId="07AEDD23"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37</w:t>
            </w:r>
          </w:p>
        </w:tc>
        <w:tc>
          <w:tcPr>
            <w:tcW w:w="1005" w:type="pct"/>
            <w:tcBorders>
              <w:top w:val="nil"/>
              <w:left w:val="nil"/>
              <w:bottom w:val="single" w:sz="4" w:space="0" w:color="auto"/>
              <w:right w:val="nil"/>
            </w:tcBorders>
            <w:shd w:val="clear" w:color="auto" w:fill="auto"/>
            <w:noWrap/>
            <w:vAlign w:val="center"/>
            <w:hideMark/>
          </w:tcPr>
          <w:p w14:paraId="2B16E953" w14:textId="565C9004"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43</w:t>
            </w:r>
          </w:p>
        </w:tc>
      </w:tr>
      <w:tr w:rsidR="001666BE" w:rsidRPr="002F2DA4" w14:paraId="7883821B"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45CAEB07"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Sandal Magna Community Academy</w:t>
            </w:r>
          </w:p>
        </w:tc>
        <w:tc>
          <w:tcPr>
            <w:tcW w:w="687" w:type="pct"/>
            <w:tcBorders>
              <w:top w:val="nil"/>
              <w:left w:val="nil"/>
              <w:bottom w:val="single" w:sz="4" w:space="0" w:color="auto"/>
              <w:right w:val="nil"/>
            </w:tcBorders>
            <w:shd w:val="clear" w:color="auto" w:fill="auto"/>
            <w:noWrap/>
            <w:vAlign w:val="center"/>
            <w:hideMark/>
          </w:tcPr>
          <w:p w14:paraId="14A7557F" w14:textId="06907D50"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87" w:type="pct"/>
            <w:tcBorders>
              <w:top w:val="nil"/>
              <w:left w:val="nil"/>
              <w:bottom w:val="single" w:sz="4" w:space="0" w:color="auto"/>
              <w:right w:val="nil"/>
            </w:tcBorders>
            <w:shd w:val="clear" w:color="auto" w:fill="auto"/>
            <w:noWrap/>
            <w:vAlign w:val="center"/>
            <w:hideMark/>
          </w:tcPr>
          <w:p w14:paraId="72879677" w14:textId="61CF8ED9" w:rsidR="001666BE" w:rsidRPr="00445968" w:rsidRDefault="001E5E98" w:rsidP="001666BE">
            <w:pPr>
              <w:spacing w:after="0" w:line="240" w:lineRule="auto"/>
              <w:jc w:val="center"/>
              <w:rPr>
                <w:rFonts w:eastAsia="Times New Roman" w:cstheme="minorHAnsi"/>
                <w:b/>
                <w:color w:val="000000"/>
                <w:lang w:eastAsia="en-GB"/>
              </w:rPr>
            </w:pPr>
            <w:r>
              <w:rPr>
                <w:rFonts w:ascii="Trebuchet MS" w:hAnsi="Trebuchet MS" w:cs="Calibri"/>
                <w:b/>
                <w:color w:val="000000"/>
                <w:sz w:val="20"/>
                <w:szCs w:val="20"/>
              </w:rPr>
              <w:t>3</w:t>
            </w:r>
            <w:r w:rsidR="00C70339">
              <w:rPr>
                <w:rFonts w:ascii="Trebuchet MS" w:hAnsi="Trebuchet MS" w:cs="Calibri"/>
                <w:b/>
                <w:color w:val="000000"/>
                <w:sz w:val="20"/>
                <w:szCs w:val="20"/>
              </w:rPr>
              <w:t>2</w:t>
            </w:r>
          </w:p>
        </w:tc>
        <w:tc>
          <w:tcPr>
            <w:tcW w:w="1005" w:type="pct"/>
            <w:tcBorders>
              <w:top w:val="nil"/>
              <w:left w:val="nil"/>
              <w:bottom w:val="single" w:sz="4" w:space="0" w:color="auto"/>
              <w:right w:val="nil"/>
            </w:tcBorders>
            <w:shd w:val="clear" w:color="auto" w:fill="auto"/>
            <w:noWrap/>
            <w:vAlign w:val="center"/>
            <w:hideMark/>
          </w:tcPr>
          <w:p w14:paraId="56A44F50" w14:textId="6B4132DB"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34</w:t>
            </w:r>
          </w:p>
        </w:tc>
      </w:tr>
      <w:tr w:rsidR="001666BE" w:rsidRPr="002F2DA4" w14:paraId="0777B600"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6823420A"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 xml:space="preserve">St </w:t>
            </w:r>
            <w:proofErr w:type="spellStart"/>
            <w:r w:rsidRPr="002F2DA4">
              <w:rPr>
                <w:rFonts w:eastAsia="Times New Roman" w:cstheme="minorHAnsi"/>
                <w:color w:val="000000"/>
                <w:lang w:eastAsia="en-GB"/>
              </w:rPr>
              <w:t>Botolphs</w:t>
            </w:r>
            <w:proofErr w:type="spellEnd"/>
            <w:r w:rsidRPr="002F2DA4">
              <w:rPr>
                <w:rFonts w:eastAsia="Times New Roman" w:cstheme="minorHAnsi"/>
                <w:color w:val="000000"/>
                <w:lang w:eastAsia="en-GB"/>
              </w:rPr>
              <w:t xml:space="preserve"> Academy</w:t>
            </w:r>
          </w:p>
        </w:tc>
        <w:tc>
          <w:tcPr>
            <w:tcW w:w="687" w:type="pct"/>
            <w:tcBorders>
              <w:top w:val="nil"/>
              <w:left w:val="nil"/>
              <w:bottom w:val="single" w:sz="4" w:space="0" w:color="auto"/>
              <w:right w:val="nil"/>
            </w:tcBorders>
            <w:shd w:val="clear" w:color="auto" w:fill="auto"/>
            <w:noWrap/>
            <w:vAlign w:val="center"/>
            <w:hideMark/>
          </w:tcPr>
          <w:p w14:paraId="2BA959C4" w14:textId="34C349B8"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87" w:type="pct"/>
            <w:tcBorders>
              <w:top w:val="nil"/>
              <w:left w:val="nil"/>
              <w:bottom w:val="single" w:sz="4" w:space="0" w:color="auto"/>
              <w:right w:val="nil"/>
            </w:tcBorders>
            <w:shd w:val="clear" w:color="auto" w:fill="auto"/>
            <w:noWrap/>
            <w:vAlign w:val="center"/>
            <w:hideMark/>
          </w:tcPr>
          <w:p w14:paraId="1AE58FC5" w14:textId="7631227A" w:rsidR="001666BE" w:rsidRPr="00445968" w:rsidRDefault="001E5E98" w:rsidP="001666BE">
            <w:pPr>
              <w:spacing w:after="0" w:line="240" w:lineRule="auto"/>
              <w:jc w:val="center"/>
              <w:rPr>
                <w:rFonts w:eastAsia="Times New Roman" w:cstheme="minorHAnsi"/>
                <w:b/>
                <w:color w:val="000000"/>
                <w:lang w:eastAsia="en-GB"/>
              </w:rPr>
            </w:pPr>
            <w:r>
              <w:rPr>
                <w:rFonts w:ascii="Trebuchet MS" w:hAnsi="Trebuchet MS" w:cs="Calibri"/>
                <w:b/>
                <w:color w:val="000000"/>
                <w:sz w:val="20"/>
                <w:szCs w:val="20"/>
              </w:rPr>
              <w:t>44</w:t>
            </w:r>
          </w:p>
        </w:tc>
        <w:tc>
          <w:tcPr>
            <w:tcW w:w="1005" w:type="pct"/>
            <w:tcBorders>
              <w:top w:val="nil"/>
              <w:left w:val="nil"/>
              <w:bottom w:val="single" w:sz="4" w:space="0" w:color="auto"/>
              <w:right w:val="nil"/>
            </w:tcBorders>
            <w:shd w:val="clear" w:color="auto" w:fill="auto"/>
            <w:noWrap/>
            <w:vAlign w:val="center"/>
            <w:hideMark/>
          </w:tcPr>
          <w:p w14:paraId="73C92AB1" w14:textId="03FE6949"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4</w:t>
            </w:r>
            <w:r w:rsidR="00C70339">
              <w:rPr>
                <w:rFonts w:eastAsia="Times New Roman" w:cstheme="minorHAnsi"/>
                <w:b/>
                <w:color w:val="000000"/>
                <w:lang w:eastAsia="en-GB"/>
              </w:rPr>
              <w:t>6</w:t>
            </w:r>
          </w:p>
        </w:tc>
      </w:tr>
      <w:tr w:rsidR="001666BE" w:rsidRPr="002F2DA4" w14:paraId="6C82C28A"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168DCE7B"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St. Giles C of E Academy</w:t>
            </w:r>
          </w:p>
        </w:tc>
        <w:tc>
          <w:tcPr>
            <w:tcW w:w="687" w:type="pct"/>
            <w:tcBorders>
              <w:top w:val="nil"/>
              <w:left w:val="nil"/>
              <w:bottom w:val="single" w:sz="4" w:space="0" w:color="auto"/>
              <w:right w:val="nil"/>
            </w:tcBorders>
            <w:shd w:val="clear" w:color="auto" w:fill="auto"/>
            <w:noWrap/>
            <w:vAlign w:val="center"/>
            <w:hideMark/>
          </w:tcPr>
          <w:p w14:paraId="59370C2A" w14:textId="3A7768AA"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4</w:t>
            </w:r>
          </w:p>
        </w:tc>
        <w:tc>
          <w:tcPr>
            <w:tcW w:w="687" w:type="pct"/>
            <w:tcBorders>
              <w:top w:val="nil"/>
              <w:left w:val="nil"/>
              <w:bottom w:val="single" w:sz="4" w:space="0" w:color="auto"/>
              <w:right w:val="nil"/>
            </w:tcBorders>
            <w:shd w:val="clear" w:color="auto" w:fill="auto"/>
            <w:noWrap/>
            <w:vAlign w:val="center"/>
            <w:hideMark/>
          </w:tcPr>
          <w:p w14:paraId="2FDA8C0A" w14:textId="431F81C7"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50</w:t>
            </w:r>
          </w:p>
        </w:tc>
        <w:tc>
          <w:tcPr>
            <w:tcW w:w="1005" w:type="pct"/>
            <w:tcBorders>
              <w:top w:val="nil"/>
              <w:left w:val="nil"/>
              <w:bottom w:val="single" w:sz="4" w:space="0" w:color="auto"/>
              <w:right w:val="nil"/>
            </w:tcBorders>
            <w:shd w:val="clear" w:color="auto" w:fill="auto"/>
            <w:noWrap/>
            <w:vAlign w:val="center"/>
            <w:hideMark/>
          </w:tcPr>
          <w:p w14:paraId="6E3B1ADF" w14:textId="05FF38EA"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5</w:t>
            </w:r>
            <w:r w:rsidR="00C70339">
              <w:rPr>
                <w:rFonts w:eastAsia="Times New Roman" w:cstheme="minorHAnsi"/>
                <w:b/>
                <w:color w:val="000000"/>
                <w:lang w:eastAsia="en-GB"/>
              </w:rPr>
              <w:t>4</w:t>
            </w:r>
          </w:p>
        </w:tc>
      </w:tr>
      <w:tr w:rsidR="001666BE" w:rsidRPr="002F2DA4" w14:paraId="095A8BA4"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6F6E06C4"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St. Helens CE Academy</w:t>
            </w:r>
          </w:p>
        </w:tc>
        <w:tc>
          <w:tcPr>
            <w:tcW w:w="687" w:type="pct"/>
            <w:tcBorders>
              <w:top w:val="nil"/>
              <w:left w:val="nil"/>
              <w:bottom w:val="single" w:sz="4" w:space="0" w:color="auto"/>
              <w:right w:val="nil"/>
            </w:tcBorders>
            <w:shd w:val="clear" w:color="auto" w:fill="auto"/>
            <w:noWrap/>
            <w:vAlign w:val="center"/>
            <w:hideMark/>
          </w:tcPr>
          <w:p w14:paraId="6B0676ED" w14:textId="7A1C0BEF"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87" w:type="pct"/>
            <w:tcBorders>
              <w:top w:val="nil"/>
              <w:left w:val="nil"/>
              <w:bottom w:val="single" w:sz="4" w:space="0" w:color="auto"/>
              <w:right w:val="nil"/>
            </w:tcBorders>
            <w:shd w:val="clear" w:color="auto" w:fill="auto"/>
            <w:noWrap/>
            <w:vAlign w:val="center"/>
            <w:hideMark/>
          </w:tcPr>
          <w:p w14:paraId="720D4753" w14:textId="039492A3"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3</w:t>
            </w:r>
            <w:r w:rsidR="00C70339">
              <w:rPr>
                <w:rFonts w:eastAsia="Times New Roman" w:cstheme="minorHAnsi"/>
                <w:b/>
                <w:color w:val="000000"/>
                <w:lang w:eastAsia="en-GB"/>
              </w:rPr>
              <w:t>8</w:t>
            </w:r>
          </w:p>
        </w:tc>
        <w:tc>
          <w:tcPr>
            <w:tcW w:w="1005" w:type="pct"/>
            <w:tcBorders>
              <w:top w:val="nil"/>
              <w:left w:val="nil"/>
              <w:bottom w:val="single" w:sz="4" w:space="0" w:color="auto"/>
              <w:right w:val="nil"/>
            </w:tcBorders>
            <w:shd w:val="clear" w:color="auto" w:fill="auto"/>
            <w:noWrap/>
            <w:vAlign w:val="center"/>
            <w:hideMark/>
          </w:tcPr>
          <w:p w14:paraId="02762448" w14:textId="61939E2E"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40</w:t>
            </w:r>
          </w:p>
        </w:tc>
      </w:tr>
      <w:tr w:rsidR="001666BE" w:rsidRPr="002F2DA4" w14:paraId="5E9BE7C3" w14:textId="77777777" w:rsidTr="002F2DA4">
        <w:trPr>
          <w:trHeight w:val="288"/>
        </w:trPr>
        <w:tc>
          <w:tcPr>
            <w:tcW w:w="2621" w:type="pct"/>
            <w:tcBorders>
              <w:top w:val="nil"/>
              <w:left w:val="nil"/>
              <w:bottom w:val="single" w:sz="4" w:space="0" w:color="auto"/>
              <w:right w:val="nil"/>
            </w:tcBorders>
            <w:shd w:val="clear" w:color="auto" w:fill="auto"/>
            <w:noWrap/>
            <w:vAlign w:val="center"/>
            <w:hideMark/>
          </w:tcPr>
          <w:p w14:paraId="71ABCFDE" w14:textId="77777777" w:rsidR="001666BE" w:rsidRPr="002F2DA4" w:rsidRDefault="001666BE" w:rsidP="001666BE">
            <w:pPr>
              <w:spacing w:after="0" w:line="240" w:lineRule="auto"/>
              <w:rPr>
                <w:rFonts w:eastAsia="Times New Roman" w:cstheme="minorHAnsi"/>
                <w:color w:val="000000"/>
                <w:lang w:eastAsia="en-GB"/>
              </w:rPr>
            </w:pPr>
            <w:r w:rsidRPr="002F2DA4">
              <w:rPr>
                <w:rFonts w:eastAsia="Times New Roman" w:cstheme="minorHAnsi"/>
                <w:color w:val="000000"/>
                <w:lang w:eastAsia="en-GB"/>
              </w:rPr>
              <w:t>St. Michael's CE Academy</w:t>
            </w:r>
          </w:p>
        </w:tc>
        <w:tc>
          <w:tcPr>
            <w:tcW w:w="687" w:type="pct"/>
            <w:tcBorders>
              <w:top w:val="nil"/>
              <w:left w:val="nil"/>
              <w:bottom w:val="single" w:sz="4" w:space="0" w:color="auto"/>
              <w:right w:val="nil"/>
            </w:tcBorders>
            <w:shd w:val="clear" w:color="auto" w:fill="auto"/>
            <w:noWrap/>
            <w:vAlign w:val="center"/>
            <w:hideMark/>
          </w:tcPr>
          <w:p w14:paraId="67527ECF" w14:textId="5C4DED07" w:rsidR="001666BE" w:rsidRPr="00445968" w:rsidRDefault="00C70339"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6</w:t>
            </w:r>
          </w:p>
        </w:tc>
        <w:tc>
          <w:tcPr>
            <w:tcW w:w="687" w:type="pct"/>
            <w:tcBorders>
              <w:top w:val="nil"/>
              <w:left w:val="nil"/>
              <w:bottom w:val="single" w:sz="4" w:space="0" w:color="auto"/>
              <w:right w:val="nil"/>
            </w:tcBorders>
            <w:shd w:val="clear" w:color="auto" w:fill="auto"/>
            <w:noWrap/>
            <w:vAlign w:val="center"/>
            <w:hideMark/>
          </w:tcPr>
          <w:p w14:paraId="62D7AFFA" w14:textId="565F82A6" w:rsidR="001666BE" w:rsidRPr="00445968" w:rsidRDefault="001E5E98" w:rsidP="001666BE">
            <w:pPr>
              <w:spacing w:after="0" w:line="240" w:lineRule="auto"/>
              <w:jc w:val="center"/>
              <w:rPr>
                <w:rFonts w:eastAsia="Times New Roman" w:cstheme="minorHAnsi"/>
                <w:b/>
                <w:color w:val="000000"/>
                <w:lang w:eastAsia="en-GB"/>
              </w:rPr>
            </w:pPr>
            <w:r>
              <w:rPr>
                <w:rFonts w:ascii="Trebuchet MS" w:hAnsi="Trebuchet MS" w:cs="Calibri"/>
                <w:b/>
                <w:color w:val="000000"/>
                <w:sz w:val="20"/>
                <w:szCs w:val="20"/>
              </w:rPr>
              <w:t>6</w:t>
            </w:r>
            <w:r w:rsidR="00C70339">
              <w:rPr>
                <w:rFonts w:ascii="Trebuchet MS" w:hAnsi="Trebuchet MS" w:cs="Calibri"/>
                <w:b/>
                <w:color w:val="000000"/>
                <w:sz w:val="20"/>
                <w:szCs w:val="20"/>
              </w:rPr>
              <w:t>7</w:t>
            </w:r>
          </w:p>
        </w:tc>
        <w:tc>
          <w:tcPr>
            <w:tcW w:w="1005" w:type="pct"/>
            <w:tcBorders>
              <w:top w:val="nil"/>
              <w:left w:val="nil"/>
              <w:bottom w:val="single" w:sz="4" w:space="0" w:color="auto"/>
              <w:right w:val="nil"/>
            </w:tcBorders>
            <w:shd w:val="clear" w:color="auto" w:fill="auto"/>
            <w:noWrap/>
            <w:vAlign w:val="center"/>
            <w:hideMark/>
          </w:tcPr>
          <w:p w14:paraId="0786EF6D" w14:textId="63B03D3B" w:rsidR="001666BE" w:rsidRPr="00445968" w:rsidRDefault="001E5E98" w:rsidP="001666BE">
            <w:pPr>
              <w:spacing w:after="0" w:line="240" w:lineRule="auto"/>
              <w:jc w:val="center"/>
              <w:rPr>
                <w:rFonts w:eastAsia="Times New Roman" w:cstheme="minorHAnsi"/>
                <w:b/>
                <w:color w:val="000000"/>
                <w:lang w:eastAsia="en-GB"/>
              </w:rPr>
            </w:pPr>
            <w:r>
              <w:rPr>
                <w:rFonts w:eastAsia="Times New Roman" w:cstheme="minorHAnsi"/>
                <w:b/>
                <w:color w:val="000000"/>
                <w:lang w:eastAsia="en-GB"/>
              </w:rPr>
              <w:t>7</w:t>
            </w:r>
            <w:r w:rsidR="00C70339">
              <w:rPr>
                <w:rFonts w:eastAsia="Times New Roman" w:cstheme="minorHAnsi"/>
                <w:b/>
                <w:color w:val="000000"/>
                <w:lang w:eastAsia="en-GB"/>
              </w:rPr>
              <w:t>3</w:t>
            </w:r>
          </w:p>
        </w:tc>
      </w:tr>
      <w:tr w:rsidR="00B5268C" w:rsidRPr="002F2DA4" w14:paraId="6F7F6BFF" w14:textId="77777777" w:rsidTr="00B5268C">
        <w:trPr>
          <w:trHeight w:val="288"/>
        </w:trPr>
        <w:tc>
          <w:tcPr>
            <w:tcW w:w="2621" w:type="pct"/>
            <w:tcBorders>
              <w:top w:val="single" w:sz="4" w:space="0" w:color="auto"/>
              <w:left w:val="nil"/>
              <w:bottom w:val="single" w:sz="4" w:space="0" w:color="auto"/>
              <w:right w:val="nil"/>
            </w:tcBorders>
            <w:shd w:val="clear" w:color="auto" w:fill="92D050"/>
            <w:noWrap/>
            <w:vAlign w:val="center"/>
            <w:hideMark/>
          </w:tcPr>
          <w:p w14:paraId="1E170267" w14:textId="77777777" w:rsidR="002F2DA4" w:rsidRPr="002F2DA4" w:rsidRDefault="002F2DA4" w:rsidP="002F2DA4">
            <w:pPr>
              <w:spacing w:after="0" w:line="240" w:lineRule="auto"/>
              <w:rPr>
                <w:rFonts w:eastAsia="Times New Roman" w:cstheme="minorHAnsi"/>
                <w:b/>
                <w:bCs/>
                <w:color w:val="000000"/>
                <w:lang w:eastAsia="en-GB"/>
              </w:rPr>
            </w:pPr>
            <w:r w:rsidRPr="002F2DA4">
              <w:rPr>
                <w:rFonts w:eastAsia="Times New Roman" w:cstheme="minorHAnsi"/>
                <w:b/>
                <w:bCs/>
                <w:color w:val="000000"/>
                <w:lang w:eastAsia="en-GB"/>
              </w:rPr>
              <w:t>Grand Total</w:t>
            </w:r>
          </w:p>
        </w:tc>
        <w:tc>
          <w:tcPr>
            <w:tcW w:w="687" w:type="pct"/>
            <w:tcBorders>
              <w:top w:val="single" w:sz="4" w:space="0" w:color="auto"/>
              <w:left w:val="nil"/>
              <w:bottom w:val="single" w:sz="4" w:space="0" w:color="auto"/>
              <w:right w:val="nil"/>
            </w:tcBorders>
            <w:shd w:val="clear" w:color="auto" w:fill="92D050"/>
            <w:noWrap/>
            <w:vAlign w:val="center"/>
            <w:hideMark/>
          </w:tcPr>
          <w:p w14:paraId="73C3E5BB" w14:textId="2429838B" w:rsidR="002F2DA4" w:rsidRPr="002F2DA4" w:rsidRDefault="00C70339" w:rsidP="002F2DA4">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56</w:t>
            </w:r>
          </w:p>
        </w:tc>
        <w:tc>
          <w:tcPr>
            <w:tcW w:w="687" w:type="pct"/>
            <w:tcBorders>
              <w:top w:val="single" w:sz="4" w:space="0" w:color="auto"/>
              <w:left w:val="nil"/>
              <w:bottom w:val="single" w:sz="4" w:space="0" w:color="auto"/>
              <w:right w:val="nil"/>
            </w:tcBorders>
            <w:shd w:val="clear" w:color="auto" w:fill="92D050"/>
            <w:noWrap/>
            <w:vAlign w:val="center"/>
            <w:hideMark/>
          </w:tcPr>
          <w:p w14:paraId="3D513F9A" w14:textId="60A29511" w:rsidR="002F2DA4" w:rsidRPr="002F2DA4" w:rsidRDefault="00C70339" w:rsidP="002F2DA4">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500</w:t>
            </w:r>
          </w:p>
        </w:tc>
        <w:tc>
          <w:tcPr>
            <w:tcW w:w="1005" w:type="pct"/>
            <w:tcBorders>
              <w:top w:val="single" w:sz="4" w:space="0" w:color="auto"/>
              <w:left w:val="nil"/>
              <w:bottom w:val="single" w:sz="4" w:space="0" w:color="auto"/>
              <w:right w:val="nil"/>
            </w:tcBorders>
            <w:shd w:val="clear" w:color="auto" w:fill="92D050"/>
            <w:noWrap/>
            <w:vAlign w:val="center"/>
            <w:hideMark/>
          </w:tcPr>
          <w:p w14:paraId="7101DCC5" w14:textId="532AD411" w:rsidR="002F2DA4" w:rsidRPr="002F2DA4" w:rsidRDefault="00C70339" w:rsidP="002F2DA4">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556</w:t>
            </w:r>
          </w:p>
        </w:tc>
      </w:tr>
    </w:tbl>
    <w:p w14:paraId="33D49CCA" w14:textId="77777777" w:rsidR="002F2DA4" w:rsidRPr="00B80A06" w:rsidRDefault="002F2DA4" w:rsidP="00B80A06">
      <w:pPr>
        <w:spacing w:after="0"/>
      </w:pPr>
    </w:p>
    <w:p w14:paraId="3A75E73B" w14:textId="77777777" w:rsidR="00B80A06" w:rsidRPr="00B80A06" w:rsidRDefault="00B80A06" w:rsidP="008F64D5">
      <w:pPr>
        <w:pStyle w:val="Heading1"/>
      </w:pPr>
      <w:bookmarkStart w:id="5" w:name="_Toc69989917"/>
      <w:bookmarkStart w:id="6" w:name="_Toc83970638"/>
      <w:r w:rsidRPr="00B80A06">
        <w:t>Full-pay relevant employees</w:t>
      </w:r>
      <w:bookmarkEnd w:id="5"/>
      <w:bookmarkEnd w:id="6"/>
      <w:r w:rsidRPr="00B80A06">
        <w:t xml:space="preserve"> </w:t>
      </w:r>
    </w:p>
    <w:p w14:paraId="764E23DD" w14:textId="77777777" w:rsidR="002C0936" w:rsidRDefault="002C0936" w:rsidP="00B80A06">
      <w:pPr>
        <w:spacing w:after="0"/>
      </w:pPr>
    </w:p>
    <w:p w14:paraId="5834A6E9" w14:textId="11940345" w:rsidR="00B80A06" w:rsidRPr="00B80A06" w:rsidRDefault="00B80A06" w:rsidP="00B80A06">
      <w:pPr>
        <w:spacing w:after="0"/>
      </w:pPr>
      <w:r w:rsidRPr="00B80A06">
        <w:t>Full-pay relevant employees are defined as “any employee who is employed on the snapshot date and who is paid their usual full basic pay (or pay for piecework) during the relevant pay period”</w:t>
      </w:r>
    </w:p>
    <w:p w14:paraId="76F428BC" w14:textId="77777777" w:rsidR="00B80A06" w:rsidRPr="00B80A06" w:rsidRDefault="00B80A06" w:rsidP="00B80A06">
      <w:pPr>
        <w:spacing w:after="0"/>
      </w:pPr>
    </w:p>
    <w:p w14:paraId="0FCBAA50" w14:textId="5078D1CA" w:rsidR="00B80A06" w:rsidRPr="00B80A06" w:rsidRDefault="00B80A06" w:rsidP="00B80A06">
      <w:pPr>
        <w:spacing w:after="0"/>
      </w:pPr>
      <w:r w:rsidRPr="00B80A06">
        <w:t xml:space="preserve">Regardless of an </w:t>
      </w:r>
      <w:r w:rsidR="005829BC" w:rsidRPr="00B80A06">
        <w:t>employee</w:t>
      </w:r>
      <w:r w:rsidRPr="00B80A06">
        <w:t xml:space="preserve"> working hours/working pattern, as long as they have received their usual full basic pay for the relevant pay period, they will be included as a full-pay relevant employee. </w:t>
      </w:r>
    </w:p>
    <w:p w14:paraId="135175D7" w14:textId="77777777" w:rsidR="00B80A06" w:rsidRPr="00B80A06" w:rsidRDefault="00B80A06" w:rsidP="00B80A06">
      <w:pPr>
        <w:spacing w:after="0"/>
      </w:pPr>
    </w:p>
    <w:p w14:paraId="3722641D" w14:textId="77777777" w:rsidR="00B80A06" w:rsidRPr="00B80A06" w:rsidRDefault="00B80A06" w:rsidP="00B80A06">
      <w:pPr>
        <w:spacing w:after="0"/>
      </w:pPr>
      <w:r w:rsidRPr="00B80A06">
        <w:t xml:space="preserve">If an employee is paid less than their usual basic pay or piecework rate, or nil, during the relevant pay period due to leave (maternity, paternity, adoption, shared parental leave, special leave and sickness leave) their data will not be included in this section. </w:t>
      </w:r>
    </w:p>
    <w:p w14:paraId="3D67906A" w14:textId="77777777" w:rsidR="00B80A06" w:rsidRPr="00B80A06" w:rsidRDefault="00B80A06" w:rsidP="00B80A06">
      <w:pPr>
        <w:spacing w:after="0"/>
      </w:pPr>
    </w:p>
    <w:p w14:paraId="491C1138" w14:textId="1E398F9C" w:rsidR="00B80A06" w:rsidRDefault="00B80A06" w:rsidP="00B80A06">
      <w:pPr>
        <w:spacing w:after="0"/>
      </w:pPr>
      <w:r w:rsidRPr="00B80A06">
        <w:t>If an employee is paid less than their usual basic pay or piecework rate for any reason other than leave (</w:t>
      </w:r>
      <w:r w:rsidR="005829BC" w:rsidRPr="00B80A06">
        <w:t>i.e.,</w:t>
      </w:r>
      <w:r w:rsidRPr="00B80A06">
        <w:t xml:space="preserve"> strike action), they will still be classified as a full-pay relevant employee. </w:t>
      </w:r>
    </w:p>
    <w:p w14:paraId="0B8EC79D" w14:textId="77777777" w:rsidR="00DF2B67" w:rsidRDefault="00DF2B67" w:rsidP="00DB2AA8">
      <w:pPr>
        <w:spacing w:after="0"/>
      </w:pPr>
    </w:p>
    <w:p w14:paraId="694DB622" w14:textId="3413AAE7" w:rsidR="002C0936" w:rsidRPr="0074441F" w:rsidRDefault="00DB2AA8" w:rsidP="00DB2AA8">
      <w:pPr>
        <w:spacing w:after="0"/>
      </w:pPr>
      <w:r w:rsidRPr="00445968">
        <w:t xml:space="preserve">The Trust workforce of full-pay relevant employees stands </w:t>
      </w:r>
      <w:r w:rsidRPr="0074441F">
        <w:t xml:space="preserve">at </w:t>
      </w:r>
      <w:r w:rsidR="00C70339">
        <w:t xml:space="preserve">535 </w:t>
      </w:r>
      <w:r w:rsidRPr="0074441F">
        <w:t xml:space="preserve">employees, </w:t>
      </w:r>
      <w:r w:rsidR="00C70339">
        <w:t>479</w:t>
      </w:r>
      <w:r w:rsidRPr="0074441F">
        <w:t xml:space="preserve"> female and </w:t>
      </w:r>
      <w:r w:rsidR="00C70339">
        <w:t>56</w:t>
      </w:r>
      <w:r w:rsidRPr="0074441F">
        <w:t xml:space="preserve"> male employees. The gender make-up of the workforce, analysed by establishment setting, depicted in table 2, shows females represent </w:t>
      </w:r>
      <w:r w:rsidR="00C11C7E">
        <w:t>89.</w:t>
      </w:r>
      <w:r w:rsidR="00C70339">
        <w:t>5</w:t>
      </w:r>
      <w:r w:rsidRPr="0074441F">
        <w:t xml:space="preserve">% of the full-pay relevant workforce and males represent </w:t>
      </w:r>
      <w:r w:rsidR="00C11C7E">
        <w:t>10.</w:t>
      </w:r>
      <w:r w:rsidR="00C70339">
        <w:t>5</w:t>
      </w:r>
      <w:r w:rsidRPr="0074441F">
        <w:t xml:space="preserve">%. </w:t>
      </w:r>
    </w:p>
    <w:p w14:paraId="32938DC0" w14:textId="65512A57" w:rsidR="00DB2AA8" w:rsidRPr="00B80A06" w:rsidRDefault="00DB2AA8" w:rsidP="00DB2AA8">
      <w:pPr>
        <w:spacing w:after="0"/>
      </w:pPr>
      <w:r w:rsidRPr="0074441F">
        <w:t>Females still make up a higher percentage of the full-pay relevant employee workforce in all settings.</w:t>
      </w:r>
      <w:r w:rsidRPr="00B80A06">
        <w:t xml:space="preserve"> </w:t>
      </w:r>
    </w:p>
    <w:p w14:paraId="54CD5B99" w14:textId="362666D9" w:rsidR="00B80A06" w:rsidRDefault="00B80A06" w:rsidP="00B80A06">
      <w:pPr>
        <w:spacing w:after="0"/>
      </w:pPr>
      <w:bookmarkStart w:id="7" w:name="_Toc69989918"/>
    </w:p>
    <w:p w14:paraId="221E7A29" w14:textId="77777777" w:rsidR="00445968" w:rsidRDefault="00445968" w:rsidP="00DB2AA8">
      <w:pPr>
        <w:spacing w:after="0"/>
      </w:pPr>
    </w:p>
    <w:p w14:paraId="109E06AC" w14:textId="77777777" w:rsidR="00445968" w:rsidRDefault="00445968" w:rsidP="00DB2AA8">
      <w:pPr>
        <w:spacing w:after="0"/>
      </w:pPr>
    </w:p>
    <w:p w14:paraId="618AD88B" w14:textId="77777777" w:rsidR="00445968" w:rsidRDefault="00445968" w:rsidP="00DB2AA8">
      <w:pPr>
        <w:spacing w:after="0"/>
      </w:pPr>
    </w:p>
    <w:p w14:paraId="463B0C9E" w14:textId="77777777" w:rsidR="00445968" w:rsidRDefault="00445968" w:rsidP="00DB2AA8">
      <w:pPr>
        <w:spacing w:after="0"/>
      </w:pPr>
    </w:p>
    <w:p w14:paraId="5EF5DCE9" w14:textId="5F1BBD53" w:rsidR="00DB2AA8" w:rsidRPr="00B80A06" w:rsidRDefault="00DB2AA8" w:rsidP="00DB2AA8">
      <w:pPr>
        <w:spacing w:after="0"/>
      </w:pPr>
      <w:r w:rsidRPr="00B80A06">
        <w:lastRenderedPageBreak/>
        <w:t xml:space="preserve">Table </w:t>
      </w:r>
      <w:r>
        <w:t>2</w:t>
      </w:r>
      <w:r w:rsidRPr="00B80A06">
        <w:t>:</w:t>
      </w:r>
    </w:p>
    <w:p w14:paraId="79F24960" w14:textId="77777777" w:rsidR="00DB2AA8" w:rsidRDefault="00DB2AA8" w:rsidP="00B80A06">
      <w:pPr>
        <w:spacing w:after="0"/>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481"/>
        <w:gridCol w:w="2264"/>
        <w:gridCol w:w="1161"/>
        <w:gridCol w:w="1592"/>
      </w:tblGrid>
      <w:tr w:rsidR="00DB2AA8" w:rsidRPr="00DB2AA8" w14:paraId="38DFD89C" w14:textId="77777777" w:rsidTr="00B5268C">
        <w:trPr>
          <w:trHeight w:val="288"/>
        </w:trPr>
        <w:tc>
          <w:tcPr>
            <w:tcW w:w="2359" w:type="pct"/>
            <w:shd w:val="clear" w:color="auto" w:fill="92D050"/>
            <w:noWrap/>
            <w:vAlign w:val="bottom"/>
            <w:hideMark/>
          </w:tcPr>
          <w:p w14:paraId="3CE00CBD" w14:textId="12B1A878" w:rsidR="00DB2AA8" w:rsidRPr="00DB2AA8" w:rsidRDefault="00DB2AA8" w:rsidP="00DB2AA8">
            <w:pPr>
              <w:spacing w:after="0" w:line="240" w:lineRule="auto"/>
              <w:rPr>
                <w:rFonts w:eastAsia="Times New Roman" w:cstheme="minorHAnsi"/>
                <w:b/>
                <w:bCs/>
                <w:color w:val="000000"/>
                <w:lang w:eastAsia="en-GB"/>
              </w:rPr>
            </w:pPr>
            <w:r w:rsidRPr="00DB2AA8">
              <w:rPr>
                <w:rFonts w:eastAsia="Times New Roman" w:cstheme="minorHAnsi"/>
                <w:b/>
                <w:bCs/>
                <w:color w:val="000000"/>
                <w:lang w:eastAsia="en-GB"/>
              </w:rPr>
              <w:t>F</w:t>
            </w:r>
            <w:r>
              <w:rPr>
                <w:rFonts w:eastAsia="Times New Roman" w:cstheme="minorHAnsi"/>
                <w:b/>
                <w:bCs/>
                <w:color w:val="000000"/>
                <w:lang w:eastAsia="en-GB"/>
              </w:rPr>
              <w:t xml:space="preserve">ull </w:t>
            </w:r>
            <w:r w:rsidRPr="00DB2AA8">
              <w:rPr>
                <w:rFonts w:eastAsia="Times New Roman" w:cstheme="minorHAnsi"/>
                <w:b/>
                <w:bCs/>
                <w:color w:val="000000"/>
                <w:lang w:eastAsia="en-GB"/>
              </w:rPr>
              <w:t>P</w:t>
            </w:r>
            <w:r>
              <w:rPr>
                <w:rFonts w:eastAsia="Times New Roman" w:cstheme="minorHAnsi"/>
                <w:b/>
                <w:bCs/>
                <w:color w:val="000000"/>
                <w:lang w:eastAsia="en-GB"/>
              </w:rPr>
              <w:t xml:space="preserve">ay </w:t>
            </w:r>
            <w:r w:rsidRPr="00DB2AA8">
              <w:rPr>
                <w:rFonts w:eastAsia="Times New Roman" w:cstheme="minorHAnsi"/>
                <w:b/>
                <w:bCs/>
                <w:color w:val="000000"/>
                <w:lang w:eastAsia="en-GB"/>
              </w:rPr>
              <w:t>R</w:t>
            </w:r>
            <w:r>
              <w:rPr>
                <w:rFonts w:eastAsia="Times New Roman" w:cstheme="minorHAnsi"/>
                <w:b/>
                <w:bCs/>
                <w:color w:val="000000"/>
                <w:lang w:eastAsia="en-GB"/>
              </w:rPr>
              <w:t xml:space="preserve">elevant </w:t>
            </w:r>
            <w:r w:rsidRPr="00DB2AA8">
              <w:rPr>
                <w:rFonts w:eastAsia="Times New Roman" w:cstheme="minorHAnsi"/>
                <w:b/>
                <w:bCs/>
                <w:color w:val="000000"/>
                <w:lang w:eastAsia="en-GB"/>
              </w:rPr>
              <w:t>Gender</w:t>
            </w:r>
            <w:r>
              <w:rPr>
                <w:rFonts w:eastAsia="Times New Roman" w:cstheme="minorHAnsi"/>
                <w:b/>
                <w:bCs/>
                <w:color w:val="000000"/>
                <w:lang w:eastAsia="en-GB"/>
              </w:rPr>
              <w:t xml:space="preserve"> by </w:t>
            </w:r>
            <w:r w:rsidRPr="00DB2AA8">
              <w:rPr>
                <w:rFonts w:eastAsia="Times New Roman" w:cstheme="minorHAnsi"/>
                <w:b/>
                <w:bCs/>
                <w:color w:val="000000"/>
                <w:lang w:eastAsia="en-GB"/>
              </w:rPr>
              <w:t>Es</w:t>
            </w:r>
            <w:r>
              <w:rPr>
                <w:rFonts w:eastAsia="Times New Roman" w:cstheme="minorHAnsi"/>
                <w:b/>
                <w:bCs/>
                <w:color w:val="000000"/>
                <w:lang w:eastAsia="en-GB"/>
              </w:rPr>
              <w:t>tablishment</w:t>
            </w:r>
          </w:p>
        </w:tc>
        <w:tc>
          <w:tcPr>
            <w:tcW w:w="2641" w:type="pct"/>
            <w:gridSpan w:val="3"/>
            <w:shd w:val="clear" w:color="auto" w:fill="92D050"/>
            <w:noWrap/>
            <w:vAlign w:val="center"/>
            <w:hideMark/>
          </w:tcPr>
          <w:p w14:paraId="79D69A06" w14:textId="4C1C9C72" w:rsidR="00DB2AA8" w:rsidRPr="00DB2AA8" w:rsidRDefault="00DB2AA8" w:rsidP="00DB2AA8">
            <w:pPr>
              <w:spacing w:after="0" w:line="240" w:lineRule="auto"/>
              <w:jc w:val="center"/>
              <w:rPr>
                <w:rFonts w:eastAsia="Times New Roman" w:cstheme="minorHAnsi"/>
                <w:lang w:eastAsia="en-GB"/>
              </w:rPr>
            </w:pPr>
            <w:r w:rsidRPr="00DB2AA8">
              <w:rPr>
                <w:rFonts w:eastAsia="Times New Roman" w:cstheme="minorHAnsi"/>
                <w:b/>
                <w:bCs/>
                <w:color w:val="000000"/>
                <w:lang w:eastAsia="en-GB"/>
              </w:rPr>
              <w:t>Gender</w:t>
            </w:r>
          </w:p>
        </w:tc>
      </w:tr>
      <w:tr w:rsidR="00DB2AA8" w:rsidRPr="00DB2AA8" w14:paraId="1F1C8AF9" w14:textId="77777777" w:rsidTr="00B5268C">
        <w:trPr>
          <w:trHeight w:val="288"/>
        </w:trPr>
        <w:tc>
          <w:tcPr>
            <w:tcW w:w="2359" w:type="pct"/>
            <w:shd w:val="clear" w:color="auto" w:fill="92D050"/>
            <w:noWrap/>
            <w:vAlign w:val="bottom"/>
            <w:hideMark/>
          </w:tcPr>
          <w:p w14:paraId="7E859908" w14:textId="77777777" w:rsidR="00DB2AA8" w:rsidRPr="00DB2AA8" w:rsidRDefault="00DB2AA8" w:rsidP="00DB2AA8">
            <w:pPr>
              <w:spacing w:after="0" w:line="240" w:lineRule="auto"/>
              <w:rPr>
                <w:rFonts w:eastAsia="Times New Roman" w:cstheme="minorHAnsi"/>
                <w:b/>
                <w:bCs/>
                <w:color w:val="000000"/>
                <w:lang w:eastAsia="en-GB"/>
              </w:rPr>
            </w:pPr>
            <w:r w:rsidRPr="00DB2AA8">
              <w:rPr>
                <w:rFonts w:eastAsia="Times New Roman" w:cstheme="minorHAnsi"/>
                <w:b/>
                <w:bCs/>
                <w:color w:val="000000"/>
                <w:lang w:eastAsia="en-GB"/>
              </w:rPr>
              <w:t>Establishment</w:t>
            </w:r>
          </w:p>
        </w:tc>
        <w:tc>
          <w:tcPr>
            <w:tcW w:w="1192" w:type="pct"/>
            <w:shd w:val="clear" w:color="auto" w:fill="92D050"/>
            <w:noWrap/>
            <w:vAlign w:val="center"/>
            <w:hideMark/>
          </w:tcPr>
          <w:p w14:paraId="664CC93B" w14:textId="77777777" w:rsidR="00DB2AA8" w:rsidRPr="00DB2AA8" w:rsidRDefault="00DB2AA8" w:rsidP="00DB2AA8">
            <w:pPr>
              <w:spacing w:after="0" w:line="240" w:lineRule="auto"/>
              <w:jc w:val="center"/>
              <w:rPr>
                <w:rFonts w:eastAsia="Times New Roman" w:cstheme="minorHAnsi"/>
                <w:b/>
                <w:bCs/>
                <w:color w:val="000000"/>
                <w:lang w:eastAsia="en-GB"/>
              </w:rPr>
            </w:pPr>
            <w:r w:rsidRPr="00DB2AA8">
              <w:rPr>
                <w:rFonts w:eastAsia="Times New Roman" w:cstheme="minorHAnsi"/>
                <w:b/>
                <w:bCs/>
                <w:color w:val="000000"/>
                <w:lang w:eastAsia="en-GB"/>
              </w:rPr>
              <w:t>Male</w:t>
            </w:r>
          </w:p>
        </w:tc>
        <w:tc>
          <w:tcPr>
            <w:tcW w:w="611" w:type="pct"/>
            <w:shd w:val="clear" w:color="auto" w:fill="92D050"/>
            <w:noWrap/>
            <w:vAlign w:val="center"/>
            <w:hideMark/>
          </w:tcPr>
          <w:p w14:paraId="2AD0CA0E" w14:textId="77777777" w:rsidR="00DB2AA8" w:rsidRPr="00DB2AA8" w:rsidRDefault="00DB2AA8" w:rsidP="00DB2AA8">
            <w:pPr>
              <w:spacing w:after="0" w:line="240" w:lineRule="auto"/>
              <w:jc w:val="center"/>
              <w:rPr>
                <w:rFonts w:eastAsia="Times New Roman" w:cstheme="minorHAnsi"/>
                <w:b/>
                <w:bCs/>
                <w:color w:val="000000"/>
                <w:lang w:eastAsia="en-GB"/>
              </w:rPr>
            </w:pPr>
            <w:r w:rsidRPr="00DB2AA8">
              <w:rPr>
                <w:rFonts w:eastAsia="Times New Roman" w:cstheme="minorHAnsi"/>
                <w:b/>
                <w:bCs/>
                <w:color w:val="000000"/>
                <w:lang w:eastAsia="en-GB"/>
              </w:rPr>
              <w:t>Female</w:t>
            </w:r>
          </w:p>
        </w:tc>
        <w:tc>
          <w:tcPr>
            <w:tcW w:w="838" w:type="pct"/>
            <w:shd w:val="clear" w:color="auto" w:fill="92D050"/>
            <w:noWrap/>
            <w:vAlign w:val="center"/>
            <w:hideMark/>
          </w:tcPr>
          <w:p w14:paraId="26E44AF6" w14:textId="77777777" w:rsidR="00DB2AA8" w:rsidRPr="00DB2AA8" w:rsidRDefault="00DB2AA8" w:rsidP="00DB2AA8">
            <w:pPr>
              <w:spacing w:after="0" w:line="240" w:lineRule="auto"/>
              <w:jc w:val="center"/>
              <w:rPr>
                <w:rFonts w:eastAsia="Times New Roman" w:cstheme="minorHAnsi"/>
                <w:b/>
                <w:bCs/>
                <w:color w:val="000000"/>
                <w:lang w:eastAsia="en-GB"/>
              </w:rPr>
            </w:pPr>
            <w:r w:rsidRPr="00DB2AA8">
              <w:rPr>
                <w:rFonts w:eastAsia="Times New Roman" w:cstheme="minorHAnsi"/>
                <w:b/>
                <w:bCs/>
                <w:color w:val="000000"/>
                <w:lang w:eastAsia="en-GB"/>
              </w:rPr>
              <w:t>Grand Total</w:t>
            </w:r>
          </w:p>
        </w:tc>
      </w:tr>
      <w:tr w:rsidR="00DB2AA8" w:rsidRPr="00DB2AA8" w14:paraId="06790EDA" w14:textId="77777777" w:rsidTr="00DB2AA8">
        <w:trPr>
          <w:trHeight w:val="288"/>
        </w:trPr>
        <w:tc>
          <w:tcPr>
            <w:tcW w:w="2359" w:type="pct"/>
            <w:shd w:val="clear" w:color="auto" w:fill="auto"/>
            <w:noWrap/>
            <w:vAlign w:val="bottom"/>
            <w:hideMark/>
          </w:tcPr>
          <w:p w14:paraId="250C3080" w14:textId="09FF24B9" w:rsidR="00DB2AA8" w:rsidRPr="00DB2AA8" w:rsidRDefault="00C70339" w:rsidP="00DB2AA8">
            <w:pPr>
              <w:spacing w:after="0" w:line="240" w:lineRule="auto"/>
              <w:rPr>
                <w:rFonts w:eastAsia="Times New Roman" w:cstheme="minorHAnsi"/>
                <w:color w:val="000000"/>
                <w:lang w:eastAsia="en-GB"/>
              </w:rPr>
            </w:pPr>
            <w:r>
              <w:rPr>
                <w:rFonts w:eastAsia="Times New Roman" w:cstheme="minorHAnsi"/>
                <w:color w:val="000000"/>
                <w:lang w:eastAsia="en-GB"/>
              </w:rPr>
              <w:t>Batley Parish CE Academy</w:t>
            </w:r>
          </w:p>
        </w:tc>
        <w:tc>
          <w:tcPr>
            <w:tcW w:w="1192" w:type="pct"/>
            <w:shd w:val="clear" w:color="auto" w:fill="auto"/>
            <w:noWrap/>
            <w:vAlign w:val="center"/>
            <w:hideMark/>
          </w:tcPr>
          <w:p w14:paraId="5FAD6142" w14:textId="6DF2C828"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4</w:t>
            </w:r>
          </w:p>
        </w:tc>
        <w:tc>
          <w:tcPr>
            <w:tcW w:w="611" w:type="pct"/>
            <w:shd w:val="clear" w:color="auto" w:fill="auto"/>
            <w:noWrap/>
            <w:vAlign w:val="center"/>
            <w:hideMark/>
          </w:tcPr>
          <w:p w14:paraId="19791B1D" w14:textId="0B13172B" w:rsidR="00DB2AA8" w:rsidRPr="00B80DE4" w:rsidRDefault="002775A4"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r w:rsidR="00C70339">
              <w:rPr>
                <w:rFonts w:eastAsia="Times New Roman" w:cstheme="minorHAnsi"/>
                <w:b/>
                <w:color w:val="000000"/>
                <w:lang w:eastAsia="en-GB"/>
              </w:rPr>
              <w:t>9</w:t>
            </w:r>
          </w:p>
        </w:tc>
        <w:tc>
          <w:tcPr>
            <w:tcW w:w="838" w:type="pct"/>
            <w:shd w:val="clear" w:color="auto" w:fill="auto"/>
            <w:noWrap/>
            <w:vAlign w:val="center"/>
            <w:hideMark/>
          </w:tcPr>
          <w:p w14:paraId="5611DDDB" w14:textId="3DD3D5BA" w:rsidR="00DB2AA8" w:rsidRPr="00B80DE4" w:rsidRDefault="002775A4"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3</w:t>
            </w:r>
            <w:r w:rsidR="00C70339">
              <w:rPr>
                <w:rFonts w:eastAsia="Times New Roman" w:cstheme="minorHAnsi"/>
                <w:b/>
                <w:color w:val="000000"/>
                <w:lang w:eastAsia="en-GB"/>
              </w:rPr>
              <w:t>3</w:t>
            </w:r>
          </w:p>
        </w:tc>
      </w:tr>
      <w:tr w:rsidR="00C70339" w:rsidRPr="00DB2AA8" w14:paraId="038CCB20" w14:textId="77777777" w:rsidTr="00DB2AA8">
        <w:trPr>
          <w:trHeight w:val="288"/>
        </w:trPr>
        <w:tc>
          <w:tcPr>
            <w:tcW w:w="2359" w:type="pct"/>
            <w:shd w:val="clear" w:color="auto" w:fill="auto"/>
            <w:noWrap/>
            <w:vAlign w:val="bottom"/>
          </w:tcPr>
          <w:p w14:paraId="1B306C4C" w14:textId="63FC7C95" w:rsidR="00C70339" w:rsidRPr="00DB2AA8" w:rsidRDefault="00C70339" w:rsidP="00DB2AA8">
            <w:pPr>
              <w:spacing w:after="0" w:line="240" w:lineRule="auto"/>
              <w:rPr>
                <w:rFonts w:eastAsia="Times New Roman" w:cstheme="minorHAnsi"/>
                <w:color w:val="000000"/>
                <w:lang w:eastAsia="en-GB"/>
              </w:rPr>
            </w:pPr>
            <w:r>
              <w:rPr>
                <w:rFonts w:eastAsia="Times New Roman" w:cstheme="minorHAnsi"/>
                <w:color w:val="000000"/>
                <w:lang w:eastAsia="en-GB"/>
              </w:rPr>
              <w:t>CAPA College</w:t>
            </w:r>
          </w:p>
        </w:tc>
        <w:tc>
          <w:tcPr>
            <w:tcW w:w="1192" w:type="pct"/>
            <w:shd w:val="clear" w:color="auto" w:fill="auto"/>
            <w:noWrap/>
            <w:vAlign w:val="center"/>
          </w:tcPr>
          <w:p w14:paraId="2BB770AF" w14:textId="201CA67A" w:rsidR="00C70339"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14</w:t>
            </w:r>
          </w:p>
        </w:tc>
        <w:tc>
          <w:tcPr>
            <w:tcW w:w="611" w:type="pct"/>
            <w:shd w:val="clear" w:color="auto" w:fill="auto"/>
            <w:noWrap/>
            <w:vAlign w:val="center"/>
          </w:tcPr>
          <w:p w14:paraId="376AB195" w14:textId="4AAE8FC0" w:rsidR="00C70339"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19</w:t>
            </w:r>
          </w:p>
        </w:tc>
        <w:tc>
          <w:tcPr>
            <w:tcW w:w="838" w:type="pct"/>
            <w:shd w:val="clear" w:color="auto" w:fill="auto"/>
            <w:noWrap/>
            <w:vAlign w:val="center"/>
          </w:tcPr>
          <w:p w14:paraId="132B69F6" w14:textId="58473601" w:rsidR="00C70339"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33</w:t>
            </w:r>
          </w:p>
        </w:tc>
      </w:tr>
      <w:tr w:rsidR="00DB2AA8" w:rsidRPr="00DB2AA8" w14:paraId="63B43530" w14:textId="77777777" w:rsidTr="00DB2AA8">
        <w:trPr>
          <w:trHeight w:val="288"/>
        </w:trPr>
        <w:tc>
          <w:tcPr>
            <w:tcW w:w="2359" w:type="pct"/>
            <w:shd w:val="clear" w:color="auto" w:fill="auto"/>
            <w:noWrap/>
            <w:vAlign w:val="bottom"/>
            <w:hideMark/>
          </w:tcPr>
          <w:p w14:paraId="6D3B7112"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Christ Church Academy</w:t>
            </w:r>
          </w:p>
        </w:tc>
        <w:tc>
          <w:tcPr>
            <w:tcW w:w="1192" w:type="pct"/>
            <w:shd w:val="clear" w:color="auto" w:fill="auto"/>
            <w:noWrap/>
            <w:vAlign w:val="center"/>
            <w:hideMark/>
          </w:tcPr>
          <w:p w14:paraId="1C6DC25E" w14:textId="0A72589C"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11" w:type="pct"/>
            <w:shd w:val="clear" w:color="auto" w:fill="auto"/>
            <w:noWrap/>
            <w:vAlign w:val="center"/>
            <w:hideMark/>
          </w:tcPr>
          <w:p w14:paraId="39C64952" w14:textId="1B79BAF2"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33</w:t>
            </w:r>
          </w:p>
        </w:tc>
        <w:tc>
          <w:tcPr>
            <w:tcW w:w="838" w:type="pct"/>
            <w:shd w:val="clear" w:color="auto" w:fill="auto"/>
            <w:noWrap/>
            <w:vAlign w:val="center"/>
            <w:hideMark/>
          </w:tcPr>
          <w:p w14:paraId="06F798F9" w14:textId="772136BF" w:rsidR="00DB2AA8" w:rsidRPr="00B80DE4" w:rsidRDefault="00C11C7E"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3</w:t>
            </w:r>
            <w:r w:rsidR="00C70339">
              <w:rPr>
                <w:rFonts w:eastAsia="Times New Roman" w:cstheme="minorHAnsi"/>
                <w:b/>
                <w:color w:val="000000"/>
                <w:lang w:eastAsia="en-GB"/>
              </w:rPr>
              <w:t>5</w:t>
            </w:r>
          </w:p>
        </w:tc>
      </w:tr>
      <w:tr w:rsidR="00DB2AA8" w:rsidRPr="00DB2AA8" w14:paraId="7EB96FAF" w14:textId="77777777" w:rsidTr="00DB2AA8">
        <w:trPr>
          <w:trHeight w:val="288"/>
        </w:trPr>
        <w:tc>
          <w:tcPr>
            <w:tcW w:w="2359" w:type="pct"/>
            <w:shd w:val="clear" w:color="auto" w:fill="auto"/>
            <w:noWrap/>
            <w:vAlign w:val="bottom"/>
            <w:hideMark/>
          </w:tcPr>
          <w:p w14:paraId="13695D23"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Diamond Wood Academy</w:t>
            </w:r>
          </w:p>
        </w:tc>
        <w:tc>
          <w:tcPr>
            <w:tcW w:w="1192" w:type="pct"/>
            <w:shd w:val="clear" w:color="auto" w:fill="auto"/>
            <w:noWrap/>
            <w:vAlign w:val="center"/>
            <w:hideMark/>
          </w:tcPr>
          <w:p w14:paraId="4C26D45E" w14:textId="34A53FA6" w:rsidR="00DB2AA8" w:rsidRPr="00B80DE4" w:rsidRDefault="00C11C7E"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11" w:type="pct"/>
            <w:shd w:val="clear" w:color="auto" w:fill="auto"/>
            <w:noWrap/>
            <w:vAlign w:val="center"/>
            <w:hideMark/>
          </w:tcPr>
          <w:p w14:paraId="08ADED06" w14:textId="7F65F4AB" w:rsidR="00DB2AA8" w:rsidRPr="00B80DE4" w:rsidRDefault="002775A4"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5</w:t>
            </w:r>
            <w:r w:rsidR="00C70339">
              <w:rPr>
                <w:rFonts w:eastAsia="Times New Roman" w:cstheme="minorHAnsi"/>
                <w:b/>
                <w:color w:val="000000"/>
                <w:lang w:eastAsia="en-GB"/>
              </w:rPr>
              <w:t>6</w:t>
            </w:r>
          </w:p>
        </w:tc>
        <w:tc>
          <w:tcPr>
            <w:tcW w:w="838" w:type="pct"/>
            <w:shd w:val="clear" w:color="auto" w:fill="auto"/>
            <w:noWrap/>
            <w:vAlign w:val="center"/>
            <w:hideMark/>
          </w:tcPr>
          <w:p w14:paraId="136AAE9D" w14:textId="69908B9E"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58</w:t>
            </w:r>
          </w:p>
        </w:tc>
      </w:tr>
      <w:tr w:rsidR="00DB2AA8" w:rsidRPr="00DB2AA8" w14:paraId="009ACE22" w14:textId="77777777" w:rsidTr="00DB2AA8">
        <w:trPr>
          <w:trHeight w:val="288"/>
        </w:trPr>
        <w:tc>
          <w:tcPr>
            <w:tcW w:w="2359" w:type="pct"/>
            <w:shd w:val="clear" w:color="auto" w:fill="auto"/>
            <w:noWrap/>
            <w:vAlign w:val="bottom"/>
            <w:hideMark/>
          </w:tcPr>
          <w:p w14:paraId="2AFE84B0"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Enhance HQ</w:t>
            </w:r>
          </w:p>
        </w:tc>
        <w:tc>
          <w:tcPr>
            <w:tcW w:w="1192" w:type="pct"/>
            <w:shd w:val="clear" w:color="auto" w:fill="auto"/>
            <w:noWrap/>
            <w:vAlign w:val="center"/>
            <w:hideMark/>
          </w:tcPr>
          <w:p w14:paraId="01350E03" w14:textId="360D4F75"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5</w:t>
            </w:r>
          </w:p>
        </w:tc>
        <w:tc>
          <w:tcPr>
            <w:tcW w:w="611" w:type="pct"/>
            <w:shd w:val="clear" w:color="auto" w:fill="auto"/>
            <w:noWrap/>
            <w:vAlign w:val="center"/>
            <w:hideMark/>
          </w:tcPr>
          <w:p w14:paraId="6B6733CC" w14:textId="297BE4EA"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4</w:t>
            </w:r>
          </w:p>
        </w:tc>
        <w:tc>
          <w:tcPr>
            <w:tcW w:w="838" w:type="pct"/>
            <w:shd w:val="clear" w:color="auto" w:fill="auto"/>
            <w:noWrap/>
            <w:vAlign w:val="center"/>
            <w:hideMark/>
          </w:tcPr>
          <w:p w14:paraId="713B077A" w14:textId="3AC96096"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9</w:t>
            </w:r>
          </w:p>
        </w:tc>
      </w:tr>
      <w:tr w:rsidR="00DB2AA8" w:rsidRPr="00DB2AA8" w14:paraId="7D0F7F82" w14:textId="77777777" w:rsidTr="00DB2AA8">
        <w:trPr>
          <w:trHeight w:val="288"/>
        </w:trPr>
        <w:tc>
          <w:tcPr>
            <w:tcW w:w="2359" w:type="pct"/>
            <w:shd w:val="clear" w:color="auto" w:fill="auto"/>
            <w:noWrap/>
            <w:vAlign w:val="bottom"/>
            <w:hideMark/>
          </w:tcPr>
          <w:p w14:paraId="4DE296BD"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Featherstone All Saints CE Academy</w:t>
            </w:r>
          </w:p>
        </w:tc>
        <w:tc>
          <w:tcPr>
            <w:tcW w:w="1192" w:type="pct"/>
            <w:shd w:val="clear" w:color="auto" w:fill="auto"/>
            <w:noWrap/>
            <w:vAlign w:val="center"/>
            <w:hideMark/>
          </w:tcPr>
          <w:p w14:paraId="08BDA6D5" w14:textId="29271545"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0</w:t>
            </w:r>
          </w:p>
        </w:tc>
        <w:tc>
          <w:tcPr>
            <w:tcW w:w="611" w:type="pct"/>
            <w:shd w:val="clear" w:color="auto" w:fill="auto"/>
            <w:noWrap/>
            <w:vAlign w:val="center"/>
            <w:hideMark/>
          </w:tcPr>
          <w:p w14:paraId="6EB5F3F8" w14:textId="319B450E" w:rsidR="00DB2AA8" w:rsidRPr="00B80DE4" w:rsidRDefault="00445968" w:rsidP="00DB2AA8">
            <w:pPr>
              <w:spacing w:after="0" w:line="240" w:lineRule="auto"/>
              <w:jc w:val="center"/>
              <w:rPr>
                <w:rFonts w:eastAsia="Times New Roman" w:cstheme="minorHAnsi"/>
                <w:b/>
                <w:color w:val="000000"/>
                <w:lang w:eastAsia="en-GB"/>
              </w:rPr>
            </w:pPr>
            <w:r w:rsidRPr="00B80DE4">
              <w:rPr>
                <w:rFonts w:eastAsia="Times New Roman" w:cstheme="minorHAnsi"/>
                <w:b/>
                <w:color w:val="000000"/>
                <w:lang w:eastAsia="en-GB"/>
              </w:rPr>
              <w:t>3</w:t>
            </w:r>
            <w:r w:rsidR="00C11C7E">
              <w:rPr>
                <w:rFonts w:eastAsia="Times New Roman" w:cstheme="minorHAnsi"/>
                <w:b/>
                <w:color w:val="000000"/>
                <w:lang w:eastAsia="en-GB"/>
              </w:rPr>
              <w:t>0</w:t>
            </w:r>
          </w:p>
        </w:tc>
        <w:tc>
          <w:tcPr>
            <w:tcW w:w="838" w:type="pct"/>
            <w:shd w:val="clear" w:color="auto" w:fill="auto"/>
            <w:noWrap/>
            <w:vAlign w:val="center"/>
            <w:hideMark/>
          </w:tcPr>
          <w:p w14:paraId="555D72F2" w14:textId="34941501" w:rsidR="00DB2AA8" w:rsidRPr="00B80DE4" w:rsidRDefault="00445968" w:rsidP="00DB2AA8">
            <w:pPr>
              <w:spacing w:after="0" w:line="240" w:lineRule="auto"/>
              <w:jc w:val="center"/>
              <w:rPr>
                <w:rFonts w:eastAsia="Times New Roman" w:cstheme="minorHAnsi"/>
                <w:b/>
                <w:color w:val="000000"/>
                <w:lang w:eastAsia="en-GB"/>
              </w:rPr>
            </w:pPr>
            <w:r w:rsidRPr="00B80DE4">
              <w:rPr>
                <w:rFonts w:eastAsia="Times New Roman" w:cstheme="minorHAnsi"/>
                <w:b/>
                <w:color w:val="000000"/>
                <w:lang w:eastAsia="en-GB"/>
              </w:rPr>
              <w:t>3</w:t>
            </w:r>
            <w:r w:rsidR="00C70339">
              <w:rPr>
                <w:rFonts w:eastAsia="Times New Roman" w:cstheme="minorHAnsi"/>
                <w:b/>
                <w:color w:val="000000"/>
                <w:lang w:eastAsia="en-GB"/>
              </w:rPr>
              <w:t>0</w:t>
            </w:r>
          </w:p>
        </w:tc>
      </w:tr>
      <w:tr w:rsidR="00C70339" w:rsidRPr="00DB2AA8" w14:paraId="5874EE86" w14:textId="77777777" w:rsidTr="00DB2AA8">
        <w:trPr>
          <w:trHeight w:val="288"/>
        </w:trPr>
        <w:tc>
          <w:tcPr>
            <w:tcW w:w="2359" w:type="pct"/>
            <w:shd w:val="clear" w:color="auto" w:fill="auto"/>
            <w:noWrap/>
            <w:vAlign w:val="bottom"/>
          </w:tcPr>
          <w:p w14:paraId="1113CE33" w14:textId="2AB3DA7F" w:rsidR="00C70339" w:rsidRPr="00DB2AA8" w:rsidRDefault="00C70339" w:rsidP="00DB2AA8">
            <w:pPr>
              <w:spacing w:after="0" w:line="240" w:lineRule="auto"/>
              <w:rPr>
                <w:rFonts w:eastAsia="Times New Roman" w:cstheme="minorHAnsi"/>
                <w:color w:val="000000"/>
                <w:lang w:eastAsia="en-GB"/>
              </w:rPr>
            </w:pPr>
            <w:proofErr w:type="spellStart"/>
            <w:r>
              <w:rPr>
                <w:rFonts w:eastAsia="Times New Roman" w:cstheme="minorHAnsi"/>
                <w:color w:val="000000"/>
                <w:lang w:eastAsia="en-GB"/>
              </w:rPr>
              <w:t>Highburton</w:t>
            </w:r>
            <w:proofErr w:type="spellEnd"/>
            <w:r>
              <w:rPr>
                <w:rFonts w:eastAsia="Times New Roman" w:cstheme="minorHAnsi"/>
                <w:color w:val="000000"/>
                <w:lang w:eastAsia="en-GB"/>
              </w:rPr>
              <w:t xml:space="preserve"> First School Academy</w:t>
            </w:r>
          </w:p>
        </w:tc>
        <w:tc>
          <w:tcPr>
            <w:tcW w:w="1192" w:type="pct"/>
            <w:shd w:val="clear" w:color="auto" w:fill="auto"/>
            <w:noWrap/>
            <w:vAlign w:val="center"/>
          </w:tcPr>
          <w:p w14:paraId="3FDA3BA4" w14:textId="50D1F4F4" w:rsidR="00C70339"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11" w:type="pct"/>
            <w:shd w:val="clear" w:color="auto" w:fill="auto"/>
            <w:noWrap/>
            <w:vAlign w:val="center"/>
          </w:tcPr>
          <w:p w14:paraId="322ED680" w14:textId="572C8F6D" w:rsidR="00C70339"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15</w:t>
            </w:r>
          </w:p>
        </w:tc>
        <w:tc>
          <w:tcPr>
            <w:tcW w:w="838" w:type="pct"/>
            <w:shd w:val="clear" w:color="auto" w:fill="auto"/>
            <w:noWrap/>
            <w:vAlign w:val="center"/>
          </w:tcPr>
          <w:p w14:paraId="49E7B0C2" w14:textId="5603E909" w:rsidR="00C70339"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17</w:t>
            </w:r>
          </w:p>
        </w:tc>
      </w:tr>
      <w:tr w:rsidR="00C70339" w:rsidRPr="00DB2AA8" w14:paraId="2438E4FD" w14:textId="77777777" w:rsidTr="00DB2AA8">
        <w:trPr>
          <w:trHeight w:val="288"/>
        </w:trPr>
        <w:tc>
          <w:tcPr>
            <w:tcW w:w="2359" w:type="pct"/>
            <w:shd w:val="clear" w:color="auto" w:fill="auto"/>
            <w:noWrap/>
            <w:vAlign w:val="bottom"/>
          </w:tcPr>
          <w:p w14:paraId="50AC8C33" w14:textId="5FC6EF4F" w:rsidR="00C70339" w:rsidRPr="00DB2AA8" w:rsidRDefault="00C70339" w:rsidP="00DB2AA8">
            <w:pPr>
              <w:spacing w:after="0" w:line="240" w:lineRule="auto"/>
              <w:rPr>
                <w:rFonts w:eastAsia="Times New Roman" w:cstheme="minorHAnsi"/>
                <w:color w:val="000000"/>
                <w:lang w:eastAsia="en-GB"/>
              </w:rPr>
            </w:pPr>
            <w:r>
              <w:rPr>
                <w:rFonts w:eastAsia="Times New Roman" w:cstheme="minorHAnsi"/>
                <w:color w:val="000000"/>
                <w:lang w:eastAsia="en-GB"/>
              </w:rPr>
              <w:t>Horbury Bridge CE Academy</w:t>
            </w:r>
          </w:p>
        </w:tc>
        <w:tc>
          <w:tcPr>
            <w:tcW w:w="1192" w:type="pct"/>
            <w:shd w:val="clear" w:color="auto" w:fill="auto"/>
            <w:noWrap/>
            <w:vAlign w:val="center"/>
          </w:tcPr>
          <w:p w14:paraId="068B7412" w14:textId="6DD7955E" w:rsidR="00C70339"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11" w:type="pct"/>
            <w:shd w:val="clear" w:color="auto" w:fill="auto"/>
            <w:noWrap/>
            <w:vAlign w:val="center"/>
          </w:tcPr>
          <w:p w14:paraId="2EF08D76" w14:textId="0B942835" w:rsidR="00C70339"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15</w:t>
            </w:r>
          </w:p>
        </w:tc>
        <w:tc>
          <w:tcPr>
            <w:tcW w:w="838" w:type="pct"/>
            <w:shd w:val="clear" w:color="auto" w:fill="auto"/>
            <w:noWrap/>
            <w:vAlign w:val="center"/>
          </w:tcPr>
          <w:p w14:paraId="5D6FC72D" w14:textId="52FB892D" w:rsidR="00C70339"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17</w:t>
            </w:r>
          </w:p>
        </w:tc>
      </w:tr>
      <w:tr w:rsidR="00DB2AA8" w:rsidRPr="00DB2AA8" w14:paraId="36AB9F0C" w14:textId="77777777" w:rsidTr="00DB2AA8">
        <w:trPr>
          <w:trHeight w:val="288"/>
        </w:trPr>
        <w:tc>
          <w:tcPr>
            <w:tcW w:w="2359" w:type="pct"/>
            <w:shd w:val="clear" w:color="auto" w:fill="auto"/>
            <w:noWrap/>
            <w:vAlign w:val="bottom"/>
            <w:hideMark/>
          </w:tcPr>
          <w:p w14:paraId="569B9703"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Lepton CE Academy</w:t>
            </w:r>
          </w:p>
        </w:tc>
        <w:tc>
          <w:tcPr>
            <w:tcW w:w="1192" w:type="pct"/>
            <w:shd w:val="clear" w:color="auto" w:fill="auto"/>
            <w:noWrap/>
            <w:vAlign w:val="center"/>
            <w:hideMark/>
          </w:tcPr>
          <w:p w14:paraId="29FD2070" w14:textId="77777777" w:rsidR="00DB2AA8" w:rsidRPr="00B80DE4" w:rsidRDefault="00DB2AA8" w:rsidP="00DB2AA8">
            <w:pPr>
              <w:spacing w:after="0" w:line="240" w:lineRule="auto"/>
              <w:jc w:val="center"/>
              <w:rPr>
                <w:rFonts w:eastAsia="Times New Roman" w:cstheme="minorHAnsi"/>
                <w:b/>
                <w:color w:val="000000"/>
                <w:lang w:eastAsia="en-GB"/>
              </w:rPr>
            </w:pPr>
            <w:r w:rsidRPr="00B80DE4">
              <w:rPr>
                <w:rFonts w:eastAsia="Times New Roman" w:cstheme="minorHAnsi"/>
                <w:b/>
                <w:color w:val="000000"/>
                <w:lang w:eastAsia="en-GB"/>
              </w:rPr>
              <w:t>3</w:t>
            </w:r>
          </w:p>
        </w:tc>
        <w:tc>
          <w:tcPr>
            <w:tcW w:w="611" w:type="pct"/>
            <w:shd w:val="clear" w:color="auto" w:fill="auto"/>
            <w:noWrap/>
            <w:vAlign w:val="center"/>
            <w:hideMark/>
          </w:tcPr>
          <w:p w14:paraId="6ED23410" w14:textId="6D62C0BA" w:rsidR="00DB2AA8" w:rsidRPr="00B80DE4" w:rsidRDefault="00C11C7E"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1</w:t>
            </w:r>
            <w:r w:rsidR="00C70339">
              <w:rPr>
                <w:rFonts w:eastAsia="Times New Roman" w:cstheme="minorHAnsi"/>
                <w:b/>
                <w:color w:val="000000"/>
                <w:lang w:eastAsia="en-GB"/>
              </w:rPr>
              <w:t>9</w:t>
            </w:r>
          </w:p>
        </w:tc>
        <w:tc>
          <w:tcPr>
            <w:tcW w:w="838" w:type="pct"/>
            <w:shd w:val="clear" w:color="auto" w:fill="auto"/>
            <w:noWrap/>
            <w:vAlign w:val="center"/>
            <w:hideMark/>
          </w:tcPr>
          <w:p w14:paraId="11243FAE" w14:textId="11BA1F76" w:rsidR="00DB2AA8" w:rsidRPr="00B80DE4" w:rsidRDefault="00C11C7E"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r w:rsidR="00C70339">
              <w:rPr>
                <w:rFonts w:eastAsia="Times New Roman" w:cstheme="minorHAnsi"/>
                <w:b/>
                <w:color w:val="000000"/>
                <w:lang w:eastAsia="en-GB"/>
              </w:rPr>
              <w:t>2</w:t>
            </w:r>
          </w:p>
        </w:tc>
      </w:tr>
      <w:tr w:rsidR="00DB2AA8" w:rsidRPr="00DB2AA8" w14:paraId="56129A1E" w14:textId="77777777" w:rsidTr="00DB2AA8">
        <w:trPr>
          <w:trHeight w:val="288"/>
        </w:trPr>
        <w:tc>
          <w:tcPr>
            <w:tcW w:w="2359" w:type="pct"/>
            <w:shd w:val="clear" w:color="auto" w:fill="auto"/>
            <w:noWrap/>
            <w:vAlign w:val="bottom"/>
            <w:hideMark/>
          </w:tcPr>
          <w:p w14:paraId="710168F9" w14:textId="77777777" w:rsidR="00DB2AA8" w:rsidRPr="00DB2AA8" w:rsidRDefault="00DB2AA8" w:rsidP="00DB2AA8">
            <w:pPr>
              <w:spacing w:after="0" w:line="240" w:lineRule="auto"/>
              <w:rPr>
                <w:rFonts w:eastAsia="Times New Roman" w:cstheme="minorHAnsi"/>
                <w:color w:val="000000"/>
                <w:lang w:eastAsia="en-GB"/>
              </w:rPr>
            </w:pPr>
            <w:proofErr w:type="spellStart"/>
            <w:r w:rsidRPr="00DB2AA8">
              <w:rPr>
                <w:rFonts w:eastAsia="Times New Roman" w:cstheme="minorHAnsi"/>
                <w:color w:val="000000"/>
                <w:lang w:eastAsia="en-GB"/>
              </w:rPr>
              <w:t>Overthorpe</w:t>
            </w:r>
            <w:proofErr w:type="spellEnd"/>
            <w:r w:rsidRPr="00DB2AA8">
              <w:rPr>
                <w:rFonts w:eastAsia="Times New Roman" w:cstheme="minorHAnsi"/>
                <w:color w:val="000000"/>
                <w:lang w:eastAsia="en-GB"/>
              </w:rPr>
              <w:t xml:space="preserve"> CE Academy</w:t>
            </w:r>
          </w:p>
        </w:tc>
        <w:tc>
          <w:tcPr>
            <w:tcW w:w="1192" w:type="pct"/>
            <w:shd w:val="clear" w:color="auto" w:fill="auto"/>
            <w:noWrap/>
            <w:vAlign w:val="center"/>
            <w:hideMark/>
          </w:tcPr>
          <w:p w14:paraId="5E24FB96" w14:textId="6B30EF99"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6</w:t>
            </w:r>
          </w:p>
        </w:tc>
        <w:tc>
          <w:tcPr>
            <w:tcW w:w="611" w:type="pct"/>
            <w:shd w:val="clear" w:color="auto" w:fill="auto"/>
            <w:noWrap/>
            <w:vAlign w:val="center"/>
            <w:hideMark/>
          </w:tcPr>
          <w:p w14:paraId="4BD48F52" w14:textId="66886933" w:rsidR="00DB2AA8" w:rsidRPr="00B80DE4" w:rsidRDefault="00C11C7E"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3</w:t>
            </w:r>
            <w:r w:rsidR="00C70339">
              <w:rPr>
                <w:rFonts w:eastAsia="Times New Roman" w:cstheme="minorHAnsi"/>
                <w:b/>
                <w:color w:val="000000"/>
                <w:lang w:eastAsia="en-GB"/>
              </w:rPr>
              <w:t>6</w:t>
            </w:r>
          </w:p>
        </w:tc>
        <w:tc>
          <w:tcPr>
            <w:tcW w:w="838" w:type="pct"/>
            <w:shd w:val="clear" w:color="auto" w:fill="auto"/>
            <w:noWrap/>
            <w:vAlign w:val="center"/>
            <w:hideMark/>
          </w:tcPr>
          <w:p w14:paraId="348B10DC" w14:textId="69FA5866"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42</w:t>
            </w:r>
          </w:p>
        </w:tc>
      </w:tr>
      <w:tr w:rsidR="00DB2AA8" w:rsidRPr="00DB2AA8" w14:paraId="58324213" w14:textId="77777777" w:rsidTr="00DB2AA8">
        <w:trPr>
          <w:trHeight w:val="288"/>
        </w:trPr>
        <w:tc>
          <w:tcPr>
            <w:tcW w:w="2359" w:type="pct"/>
            <w:shd w:val="clear" w:color="auto" w:fill="auto"/>
            <w:noWrap/>
            <w:vAlign w:val="bottom"/>
            <w:hideMark/>
          </w:tcPr>
          <w:p w14:paraId="22AF54B4"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Sandal Magna Community Academy</w:t>
            </w:r>
          </w:p>
        </w:tc>
        <w:tc>
          <w:tcPr>
            <w:tcW w:w="1192" w:type="pct"/>
            <w:shd w:val="clear" w:color="auto" w:fill="auto"/>
            <w:noWrap/>
            <w:vAlign w:val="center"/>
            <w:hideMark/>
          </w:tcPr>
          <w:p w14:paraId="3B515522" w14:textId="5339A682"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11" w:type="pct"/>
            <w:shd w:val="clear" w:color="auto" w:fill="auto"/>
            <w:noWrap/>
            <w:vAlign w:val="center"/>
            <w:hideMark/>
          </w:tcPr>
          <w:p w14:paraId="3A3BC7BA" w14:textId="5D921F1F"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31</w:t>
            </w:r>
          </w:p>
        </w:tc>
        <w:tc>
          <w:tcPr>
            <w:tcW w:w="838" w:type="pct"/>
            <w:shd w:val="clear" w:color="auto" w:fill="auto"/>
            <w:noWrap/>
            <w:vAlign w:val="center"/>
            <w:hideMark/>
          </w:tcPr>
          <w:p w14:paraId="226A0443" w14:textId="1250E232"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33</w:t>
            </w:r>
          </w:p>
        </w:tc>
      </w:tr>
      <w:tr w:rsidR="00DB2AA8" w:rsidRPr="00DB2AA8" w14:paraId="2C264631" w14:textId="77777777" w:rsidTr="00DB2AA8">
        <w:trPr>
          <w:trHeight w:val="288"/>
        </w:trPr>
        <w:tc>
          <w:tcPr>
            <w:tcW w:w="2359" w:type="pct"/>
            <w:shd w:val="clear" w:color="auto" w:fill="auto"/>
            <w:noWrap/>
            <w:vAlign w:val="bottom"/>
            <w:hideMark/>
          </w:tcPr>
          <w:p w14:paraId="1B1DB489"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 xml:space="preserve">St </w:t>
            </w:r>
            <w:proofErr w:type="spellStart"/>
            <w:r w:rsidRPr="00DB2AA8">
              <w:rPr>
                <w:rFonts w:eastAsia="Times New Roman" w:cstheme="minorHAnsi"/>
                <w:color w:val="000000"/>
                <w:lang w:eastAsia="en-GB"/>
              </w:rPr>
              <w:t>Botolphs</w:t>
            </w:r>
            <w:proofErr w:type="spellEnd"/>
            <w:r w:rsidRPr="00DB2AA8">
              <w:rPr>
                <w:rFonts w:eastAsia="Times New Roman" w:cstheme="minorHAnsi"/>
                <w:color w:val="000000"/>
                <w:lang w:eastAsia="en-GB"/>
              </w:rPr>
              <w:t xml:space="preserve"> Academy</w:t>
            </w:r>
          </w:p>
        </w:tc>
        <w:tc>
          <w:tcPr>
            <w:tcW w:w="1192" w:type="pct"/>
            <w:shd w:val="clear" w:color="auto" w:fill="auto"/>
            <w:noWrap/>
            <w:vAlign w:val="center"/>
            <w:hideMark/>
          </w:tcPr>
          <w:p w14:paraId="5DA3B93E" w14:textId="34216CF5"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11" w:type="pct"/>
            <w:shd w:val="clear" w:color="auto" w:fill="auto"/>
            <w:noWrap/>
            <w:vAlign w:val="center"/>
            <w:hideMark/>
          </w:tcPr>
          <w:p w14:paraId="6D0678AE" w14:textId="0D41837F"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43</w:t>
            </w:r>
          </w:p>
        </w:tc>
        <w:tc>
          <w:tcPr>
            <w:tcW w:w="838" w:type="pct"/>
            <w:shd w:val="clear" w:color="auto" w:fill="auto"/>
            <w:noWrap/>
            <w:vAlign w:val="center"/>
            <w:hideMark/>
          </w:tcPr>
          <w:p w14:paraId="2C50A066" w14:textId="0D98AF8D" w:rsidR="00DB2AA8" w:rsidRPr="00B80DE4" w:rsidRDefault="00C11C7E"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4</w:t>
            </w:r>
            <w:r w:rsidR="00C70339">
              <w:rPr>
                <w:rFonts w:eastAsia="Times New Roman" w:cstheme="minorHAnsi"/>
                <w:b/>
                <w:color w:val="000000"/>
                <w:lang w:eastAsia="en-GB"/>
              </w:rPr>
              <w:t>5</w:t>
            </w:r>
          </w:p>
        </w:tc>
      </w:tr>
      <w:tr w:rsidR="00DB2AA8" w:rsidRPr="00DB2AA8" w14:paraId="64218EE4" w14:textId="77777777" w:rsidTr="00DB2AA8">
        <w:trPr>
          <w:trHeight w:val="288"/>
        </w:trPr>
        <w:tc>
          <w:tcPr>
            <w:tcW w:w="2359" w:type="pct"/>
            <w:shd w:val="clear" w:color="auto" w:fill="auto"/>
            <w:noWrap/>
            <w:vAlign w:val="bottom"/>
            <w:hideMark/>
          </w:tcPr>
          <w:p w14:paraId="535F972C"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St. Giles C of E Academy</w:t>
            </w:r>
          </w:p>
        </w:tc>
        <w:tc>
          <w:tcPr>
            <w:tcW w:w="1192" w:type="pct"/>
            <w:shd w:val="clear" w:color="auto" w:fill="auto"/>
            <w:noWrap/>
            <w:vAlign w:val="center"/>
            <w:hideMark/>
          </w:tcPr>
          <w:p w14:paraId="153756DE" w14:textId="720F7A6E"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4</w:t>
            </w:r>
          </w:p>
        </w:tc>
        <w:tc>
          <w:tcPr>
            <w:tcW w:w="611" w:type="pct"/>
            <w:shd w:val="clear" w:color="auto" w:fill="auto"/>
            <w:noWrap/>
            <w:vAlign w:val="center"/>
            <w:hideMark/>
          </w:tcPr>
          <w:p w14:paraId="070C3B00" w14:textId="09098C45"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50</w:t>
            </w:r>
          </w:p>
        </w:tc>
        <w:tc>
          <w:tcPr>
            <w:tcW w:w="838" w:type="pct"/>
            <w:shd w:val="clear" w:color="auto" w:fill="auto"/>
            <w:noWrap/>
            <w:vAlign w:val="center"/>
            <w:hideMark/>
          </w:tcPr>
          <w:p w14:paraId="7B4012E3" w14:textId="48817414"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54</w:t>
            </w:r>
          </w:p>
        </w:tc>
      </w:tr>
      <w:tr w:rsidR="00DB2AA8" w:rsidRPr="00DB2AA8" w14:paraId="5B6DE88D" w14:textId="77777777" w:rsidTr="00DB2AA8">
        <w:trPr>
          <w:trHeight w:val="288"/>
        </w:trPr>
        <w:tc>
          <w:tcPr>
            <w:tcW w:w="2359" w:type="pct"/>
            <w:shd w:val="clear" w:color="auto" w:fill="auto"/>
            <w:noWrap/>
            <w:vAlign w:val="bottom"/>
            <w:hideMark/>
          </w:tcPr>
          <w:p w14:paraId="7673A78D"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St. Helens CE Academy</w:t>
            </w:r>
          </w:p>
        </w:tc>
        <w:tc>
          <w:tcPr>
            <w:tcW w:w="1192" w:type="pct"/>
            <w:shd w:val="clear" w:color="auto" w:fill="auto"/>
            <w:noWrap/>
            <w:vAlign w:val="center"/>
            <w:hideMark/>
          </w:tcPr>
          <w:p w14:paraId="4DEFCD8C" w14:textId="55E66B44"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2</w:t>
            </w:r>
          </w:p>
        </w:tc>
        <w:tc>
          <w:tcPr>
            <w:tcW w:w="611" w:type="pct"/>
            <w:shd w:val="clear" w:color="auto" w:fill="auto"/>
            <w:noWrap/>
            <w:vAlign w:val="center"/>
            <w:hideMark/>
          </w:tcPr>
          <w:p w14:paraId="03AD617C" w14:textId="41AEADA0" w:rsidR="00DB2AA8" w:rsidRPr="00B80DE4" w:rsidRDefault="00B80DE4" w:rsidP="00DB2AA8">
            <w:pPr>
              <w:spacing w:after="0" w:line="240" w:lineRule="auto"/>
              <w:jc w:val="center"/>
              <w:rPr>
                <w:rFonts w:eastAsia="Times New Roman" w:cstheme="minorHAnsi"/>
                <w:b/>
                <w:color w:val="000000"/>
                <w:lang w:eastAsia="en-GB"/>
              </w:rPr>
            </w:pPr>
            <w:r w:rsidRPr="00B80DE4">
              <w:rPr>
                <w:rFonts w:eastAsia="Times New Roman" w:cstheme="minorHAnsi"/>
                <w:b/>
                <w:color w:val="000000"/>
                <w:lang w:eastAsia="en-GB"/>
              </w:rPr>
              <w:t>3</w:t>
            </w:r>
            <w:r w:rsidR="00C70339">
              <w:rPr>
                <w:rFonts w:eastAsia="Times New Roman" w:cstheme="minorHAnsi"/>
                <w:b/>
                <w:color w:val="000000"/>
                <w:lang w:eastAsia="en-GB"/>
              </w:rPr>
              <w:t>5</w:t>
            </w:r>
          </w:p>
        </w:tc>
        <w:tc>
          <w:tcPr>
            <w:tcW w:w="838" w:type="pct"/>
            <w:shd w:val="clear" w:color="auto" w:fill="auto"/>
            <w:noWrap/>
            <w:vAlign w:val="center"/>
            <w:hideMark/>
          </w:tcPr>
          <w:p w14:paraId="2D817B8F" w14:textId="09EE6F77" w:rsidR="00DB2AA8" w:rsidRPr="00B80DE4" w:rsidRDefault="00C11C7E"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3</w:t>
            </w:r>
            <w:r w:rsidR="00C70339">
              <w:rPr>
                <w:rFonts w:eastAsia="Times New Roman" w:cstheme="minorHAnsi"/>
                <w:b/>
                <w:color w:val="000000"/>
                <w:lang w:eastAsia="en-GB"/>
              </w:rPr>
              <w:t>7</w:t>
            </w:r>
          </w:p>
        </w:tc>
      </w:tr>
      <w:tr w:rsidR="00DB2AA8" w:rsidRPr="00DB2AA8" w14:paraId="0ECC1DDE" w14:textId="77777777" w:rsidTr="00DB2AA8">
        <w:trPr>
          <w:trHeight w:val="288"/>
        </w:trPr>
        <w:tc>
          <w:tcPr>
            <w:tcW w:w="2359" w:type="pct"/>
            <w:shd w:val="clear" w:color="auto" w:fill="auto"/>
            <w:noWrap/>
            <w:vAlign w:val="bottom"/>
            <w:hideMark/>
          </w:tcPr>
          <w:p w14:paraId="227F4DA1" w14:textId="77777777" w:rsidR="00DB2AA8" w:rsidRPr="00DB2AA8" w:rsidRDefault="00DB2AA8" w:rsidP="00DB2AA8">
            <w:pPr>
              <w:spacing w:after="0" w:line="240" w:lineRule="auto"/>
              <w:rPr>
                <w:rFonts w:eastAsia="Times New Roman" w:cstheme="minorHAnsi"/>
                <w:color w:val="000000"/>
                <w:lang w:eastAsia="en-GB"/>
              </w:rPr>
            </w:pPr>
            <w:r w:rsidRPr="00DB2AA8">
              <w:rPr>
                <w:rFonts w:eastAsia="Times New Roman" w:cstheme="minorHAnsi"/>
                <w:color w:val="000000"/>
                <w:lang w:eastAsia="en-GB"/>
              </w:rPr>
              <w:t>St. Michael's CE Academy</w:t>
            </w:r>
          </w:p>
        </w:tc>
        <w:tc>
          <w:tcPr>
            <w:tcW w:w="1192" w:type="pct"/>
            <w:shd w:val="clear" w:color="auto" w:fill="auto"/>
            <w:noWrap/>
            <w:vAlign w:val="center"/>
            <w:hideMark/>
          </w:tcPr>
          <w:p w14:paraId="08D1DC41" w14:textId="24C24778" w:rsidR="00DB2AA8" w:rsidRPr="00B80DE4" w:rsidRDefault="00C70339"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6</w:t>
            </w:r>
          </w:p>
        </w:tc>
        <w:tc>
          <w:tcPr>
            <w:tcW w:w="611" w:type="pct"/>
            <w:shd w:val="clear" w:color="auto" w:fill="auto"/>
            <w:noWrap/>
            <w:vAlign w:val="center"/>
            <w:hideMark/>
          </w:tcPr>
          <w:p w14:paraId="75FB5704" w14:textId="489C6545" w:rsidR="00DB2AA8" w:rsidRPr="00B80DE4" w:rsidRDefault="00C11C7E" w:rsidP="00DB2AA8">
            <w:pPr>
              <w:spacing w:after="0" w:line="240" w:lineRule="auto"/>
              <w:jc w:val="center"/>
              <w:rPr>
                <w:rFonts w:eastAsia="Times New Roman" w:cstheme="minorHAnsi"/>
                <w:b/>
                <w:color w:val="000000"/>
                <w:lang w:eastAsia="en-GB"/>
              </w:rPr>
            </w:pPr>
            <w:r>
              <w:rPr>
                <w:rFonts w:eastAsia="Times New Roman" w:cstheme="minorHAnsi"/>
                <w:b/>
                <w:color w:val="000000"/>
                <w:lang w:eastAsia="en-GB"/>
              </w:rPr>
              <w:t>6</w:t>
            </w:r>
            <w:r w:rsidR="00C70339">
              <w:rPr>
                <w:rFonts w:eastAsia="Times New Roman" w:cstheme="minorHAnsi"/>
                <w:b/>
                <w:color w:val="000000"/>
                <w:lang w:eastAsia="en-GB"/>
              </w:rPr>
              <w:t>4</w:t>
            </w:r>
          </w:p>
        </w:tc>
        <w:tc>
          <w:tcPr>
            <w:tcW w:w="838" w:type="pct"/>
            <w:shd w:val="clear" w:color="auto" w:fill="auto"/>
            <w:noWrap/>
            <w:vAlign w:val="center"/>
            <w:hideMark/>
          </w:tcPr>
          <w:p w14:paraId="46463781" w14:textId="593BEB31" w:rsidR="00DB2AA8" w:rsidRPr="00B80DE4" w:rsidRDefault="00B80DE4" w:rsidP="00DB2AA8">
            <w:pPr>
              <w:spacing w:after="0" w:line="240" w:lineRule="auto"/>
              <w:jc w:val="center"/>
              <w:rPr>
                <w:rFonts w:eastAsia="Times New Roman" w:cstheme="minorHAnsi"/>
                <w:b/>
                <w:color w:val="000000"/>
                <w:lang w:eastAsia="en-GB"/>
              </w:rPr>
            </w:pPr>
            <w:r w:rsidRPr="00B80DE4">
              <w:rPr>
                <w:rFonts w:eastAsia="Times New Roman" w:cstheme="minorHAnsi"/>
                <w:b/>
                <w:color w:val="000000"/>
                <w:lang w:eastAsia="en-GB"/>
              </w:rPr>
              <w:t>7</w:t>
            </w:r>
            <w:r w:rsidR="00C11C7E">
              <w:rPr>
                <w:rFonts w:eastAsia="Times New Roman" w:cstheme="minorHAnsi"/>
                <w:b/>
                <w:color w:val="000000"/>
                <w:lang w:eastAsia="en-GB"/>
              </w:rPr>
              <w:t>0</w:t>
            </w:r>
          </w:p>
        </w:tc>
      </w:tr>
      <w:tr w:rsidR="00DB2AA8" w:rsidRPr="00DB2AA8" w14:paraId="5C39756D" w14:textId="77777777" w:rsidTr="00B5268C">
        <w:trPr>
          <w:trHeight w:val="288"/>
        </w:trPr>
        <w:tc>
          <w:tcPr>
            <w:tcW w:w="2359" w:type="pct"/>
            <w:shd w:val="clear" w:color="auto" w:fill="92D050"/>
            <w:noWrap/>
            <w:vAlign w:val="bottom"/>
            <w:hideMark/>
          </w:tcPr>
          <w:p w14:paraId="47A2847F" w14:textId="77777777" w:rsidR="00DB2AA8" w:rsidRPr="00DB2AA8" w:rsidRDefault="00DB2AA8" w:rsidP="00DB2AA8">
            <w:pPr>
              <w:spacing w:after="0" w:line="240" w:lineRule="auto"/>
              <w:rPr>
                <w:rFonts w:eastAsia="Times New Roman" w:cstheme="minorHAnsi"/>
                <w:b/>
                <w:bCs/>
                <w:color w:val="000000"/>
                <w:lang w:eastAsia="en-GB"/>
              </w:rPr>
            </w:pPr>
            <w:r w:rsidRPr="00DB2AA8">
              <w:rPr>
                <w:rFonts w:eastAsia="Times New Roman" w:cstheme="minorHAnsi"/>
                <w:b/>
                <w:bCs/>
                <w:color w:val="000000"/>
                <w:lang w:eastAsia="en-GB"/>
              </w:rPr>
              <w:t>Grand Total</w:t>
            </w:r>
          </w:p>
        </w:tc>
        <w:tc>
          <w:tcPr>
            <w:tcW w:w="1192" w:type="pct"/>
            <w:shd w:val="clear" w:color="auto" w:fill="92D050"/>
            <w:noWrap/>
            <w:vAlign w:val="center"/>
            <w:hideMark/>
          </w:tcPr>
          <w:p w14:paraId="40C1D47A" w14:textId="718E6C69" w:rsidR="00DB2AA8" w:rsidRPr="00DB2AA8" w:rsidRDefault="00C70339" w:rsidP="00DB2AA8">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56</w:t>
            </w:r>
          </w:p>
        </w:tc>
        <w:tc>
          <w:tcPr>
            <w:tcW w:w="611" w:type="pct"/>
            <w:shd w:val="clear" w:color="auto" w:fill="92D050"/>
            <w:noWrap/>
            <w:vAlign w:val="center"/>
            <w:hideMark/>
          </w:tcPr>
          <w:p w14:paraId="67012C14" w14:textId="4EDE1A88" w:rsidR="00DB2AA8" w:rsidRPr="00DB2AA8" w:rsidRDefault="00C70339" w:rsidP="00DB2AA8">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479</w:t>
            </w:r>
          </w:p>
        </w:tc>
        <w:tc>
          <w:tcPr>
            <w:tcW w:w="838" w:type="pct"/>
            <w:shd w:val="clear" w:color="auto" w:fill="92D050"/>
            <w:noWrap/>
            <w:vAlign w:val="center"/>
            <w:hideMark/>
          </w:tcPr>
          <w:p w14:paraId="3304DA5A" w14:textId="7BE99E79" w:rsidR="00DB2AA8" w:rsidRPr="00DB2AA8" w:rsidRDefault="00C70339" w:rsidP="00DB2AA8">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535</w:t>
            </w:r>
          </w:p>
        </w:tc>
      </w:tr>
    </w:tbl>
    <w:p w14:paraId="35FCA9F8" w14:textId="3EC4267E" w:rsidR="00DB2AA8" w:rsidRDefault="00DB2AA8" w:rsidP="00B80A06">
      <w:pPr>
        <w:spacing w:after="0"/>
      </w:pPr>
    </w:p>
    <w:p w14:paraId="653FD6A5" w14:textId="77777777" w:rsidR="00B80A06" w:rsidRPr="00B80A06" w:rsidRDefault="00B80A06" w:rsidP="00B80A06">
      <w:pPr>
        <w:pStyle w:val="Heading1"/>
      </w:pPr>
      <w:bookmarkStart w:id="8" w:name="_Toc83970639"/>
      <w:r w:rsidRPr="00B80A06">
        <w:t>Mean gender pay gap</w:t>
      </w:r>
      <w:bookmarkEnd w:id="7"/>
      <w:bookmarkEnd w:id="8"/>
    </w:p>
    <w:p w14:paraId="18DA8103" w14:textId="77777777" w:rsidR="002C0936" w:rsidRDefault="002C0936" w:rsidP="00B80A06">
      <w:pPr>
        <w:spacing w:after="0"/>
      </w:pPr>
    </w:p>
    <w:p w14:paraId="04D9BC52" w14:textId="391FED2C" w:rsidR="00B80A06" w:rsidRPr="00B80A06" w:rsidRDefault="00B80A06" w:rsidP="00B80A06">
      <w:pPr>
        <w:spacing w:after="0"/>
      </w:pPr>
      <w:r w:rsidRPr="00B80A06">
        <w:t xml:space="preserve">The mean (average) of a data set is found by adding all numbers in the data set and then dividing by the number of values in the set. The mean gender pay gap is calculated on gross hourly rate, an </w:t>
      </w:r>
      <w:r w:rsidR="005829BC" w:rsidRPr="00B80A06">
        <w:t>employee’s</w:t>
      </w:r>
      <w:r w:rsidRPr="00B80A06">
        <w:t xml:space="preserve"> part-time/full-time or term time only/all year status does not apply to this calculation.</w:t>
      </w:r>
    </w:p>
    <w:tbl>
      <w:tblPr>
        <w:tblStyle w:val="AskEd"/>
        <w:tblpPr w:leftFromText="181" w:rightFromText="181" w:vertAnchor="text" w:horzAnchor="margin" w:tblpXSpec="right" w:tblpY="145"/>
        <w:tblW w:w="0" w:type="auto"/>
        <w:tblInd w:w="0" w:type="dxa"/>
        <w:tblBorders>
          <w:insideH w:val="none" w:sz="0" w:space="0" w:color="auto"/>
          <w:insideV w:val="none" w:sz="0" w:space="0" w:color="auto"/>
        </w:tblBorders>
        <w:tblLook w:val="04A0" w:firstRow="1" w:lastRow="0" w:firstColumn="1" w:lastColumn="0" w:noHBand="0" w:noVBand="1"/>
      </w:tblPr>
      <w:tblGrid>
        <w:gridCol w:w="354"/>
        <w:gridCol w:w="1697"/>
        <w:gridCol w:w="709"/>
        <w:gridCol w:w="1842"/>
        <w:gridCol w:w="354"/>
        <w:gridCol w:w="804"/>
      </w:tblGrid>
      <w:tr w:rsidR="00B80A06" w:rsidRPr="00B80A06" w14:paraId="7614CC26" w14:textId="77777777" w:rsidTr="00B80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 w:type="dxa"/>
            <w:tcBorders>
              <w:bottom w:val="single" w:sz="4" w:space="0" w:color="auto"/>
            </w:tcBorders>
            <w:hideMark/>
          </w:tcPr>
          <w:p w14:paraId="301A56FA" w14:textId="77777777" w:rsidR="00B80A06" w:rsidRPr="00B80A06" w:rsidRDefault="00B80A06" w:rsidP="00B80A06">
            <w:pPr>
              <w:rPr>
                <w:lang w:eastAsia="en-GB"/>
              </w:rPr>
            </w:pPr>
            <w:r w:rsidRPr="00B80A06">
              <w:rPr>
                <w:lang w:eastAsia="en-GB"/>
              </w:rPr>
              <w:t>(</w:t>
            </w:r>
          </w:p>
        </w:tc>
        <w:tc>
          <w:tcPr>
            <w:tcW w:w="1697" w:type="dxa"/>
            <w:tcBorders>
              <w:top w:val="nil"/>
              <w:left w:val="nil"/>
              <w:bottom w:val="single" w:sz="4" w:space="0" w:color="auto"/>
              <w:right w:val="nil"/>
            </w:tcBorders>
            <w:hideMark/>
          </w:tcPr>
          <w:p w14:paraId="7D878FB4"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Male mean average hourly salary</w:t>
            </w:r>
          </w:p>
        </w:tc>
        <w:tc>
          <w:tcPr>
            <w:tcW w:w="709" w:type="dxa"/>
            <w:tcBorders>
              <w:top w:val="nil"/>
              <w:left w:val="nil"/>
              <w:bottom w:val="single" w:sz="4" w:space="0" w:color="auto"/>
              <w:right w:val="nil"/>
            </w:tcBorders>
            <w:hideMark/>
          </w:tcPr>
          <w:p w14:paraId="54A0F941"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w:t>
            </w:r>
          </w:p>
        </w:tc>
        <w:tc>
          <w:tcPr>
            <w:tcW w:w="1842" w:type="dxa"/>
            <w:tcBorders>
              <w:top w:val="nil"/>
              <w:left w:val="nil"/>
              <w:bottom w:val="single" w:sz="4" w:space="0" w:color="auto"/>
              <w:right w:val="nil"/>
            </w:tcBorders>
            <w:hideMark/>
          </w:tcPr>
          <w:p w14:paraId="3E871F09"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Female mean average hourly rate</w:t>
            </w:r>
          </w:p>
        </w:tc>
        <w:tc>
          <w:tcPr>
            <w:tcW w:w="354" w:type="dxa"/>
            <w:tcBorders>
              <w:top w:val="nil"/>
              <w:left w:val="nil"/>
              <w:bottom w:val="single" w:sz="4" w:space="0" w:color="auto"/>
              <w:right w:val="nil"/>
            </w:tcBorders>
            <w:hideMark/>
          </w:tcPr>
          <w:p w14:paraId="60BE6FBD"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w:t>
            </w:r>
          </w:p>
        </w:tc>
        <w:tc>
          <w:tcPr>
            <w:tcW w:w="804" w:type="dxa"/>
            <w:vMerge w:val="restart"/>
            <w:hideMark/>
          </w:tcPr>
          <w:p w14:paraId="04D18CD7"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X 100</w:t>
            </w:r>
          </w:p>
        </w:tc>
      </w:tr>
      <w:tr w:rsidR="00B80A06" w:rsidRPr="00B80A06" w14:paraId="258285C0" w14:textId="77777777" w:rsidTr="00FB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gridSpan w:val="5"/>
            <w:tcBorders>
              <w:top w:val="single" w:sz="4" w:space="0" w:color="auto"/>
            </w:tcBorders>
            <w:hideMark/>
          </w:tcPr>
          <w:p w14:paraId="16E8C8EA" w14:textId="77777777" w:rsidR="00B80A06" w:rsidRPr="00B80A06" w:rsidRDefault="00B80A06" w:rsidP="00FB6F77">
            <w:pPr>
              <w:jc w:val="center"/>
              <w:rPr>
                <w:lang w:eastAsia="en-GB"/>
              </w:rPr>
            </w:pPr>
            <w:r w:rsidRPr="00B80A06">
              <w:rPr>
                <w:lang w:eastAsia="en-GB"/>
              </w:rPr>
              <w:t>Male mean average hourly rate</w:t>
            </w:r>
          </w:p>
        </w:tc>
        <w:tc>
          <w:tcPr>
            <w:tcW w:w="0" w:type="auto"/>
            <w:vMerge/>
            <w:hideMark/>
          </w:tcPr>
          <w:p w14:paraId="7B707D44" w14:textId="77777777" w:rsidR="00B80A06" w:rsidRPr="00B80A06" w:rsidRDefault="00B80A06" w:rsidP="00B80A06">
            <w:pPr>
              <w:cnfStyle w:val="000000100000" w:firstRow="0" w:lastRow="0" w:firstColumn="0" w:lastColumn="0" w:oddVBand="0" w:evenVBand="0" w:oddHBand="1" w:evenHBand="0" w:firstRowFirstColumn="0" w:firstRowLastColumn="0" w:lastRowFirstColumn="0" w:lastRowLastColumn="0"/>
              <w:rPr>
                <w:b/>
                <w:color w:val="000000" w:themeColor="text1"/>
                <w:lang w:eastAsia="en-GB"/>
              </w:rPr>
            </w:pPr>
          </w:p>
        </w:tc>
      </w:tr>
    </w:tbl>
    <w:p w14:paraId="1B51EDE5" w14:textId="77777777" w:rsidR="00B80A06" w:rsidRPr="00B80A06" w:rsidRDefault="00B80A06" w:rsidP="00B80A06">
      <w:pPr>
        <w:spacing w:after="0"/>
      </w:pPr>
    </w:p>
    <w:p w14:paraId="3120272F" w14:textId="77777777" w:rsidR="00B80A06" w:rsidRPr="00B80A06" w:rsidRDefault="00B80A06" w:rsidP="00B80A06">
      <w:pPr>
        <w:spacing w:after="0"/>
      </w:pPr>
      <w:r w:rsidRPr="00B80A06">
        <w:t xml:space="preserve">Mean gender pay gap calculation </w:t>
      </w:r>
    </w:p>
    <w:p w14:paraId="398C0A5F" w14:textId="77777777" w:rsidR="00B80A06" w:rsidRPr="00B80A06" w:rsidRDefault="00B80A06" w:rsidP="00B80A06">
      <w:pPr>
        <w:spacing w:after="0"/>
      </w:pPr>
    </w:p>
    <w:p w14:paraId="4C769F40" w14:textId="77777777" w:rsidR="00B80A06" w:rsidRPr="00B80A06" w:rsidRDefault="00B80A06" w:rsidP="00B80A06">
      <w:pPr>
        <w:spacing w:after="0"/>
      </w:pPr>
    </w:p>
    <w:p w14:paraId="7DC831B0" w14:textId="77777777" w:rsidR="00B80A06" w:rsidRPr="00B80A06" w:rsidRDefault="00B80A06" w:rsidP="00B80A06">
      <w:pPr>
        <w:spacing w:after="0"/>
        <w:rPr>
          <w:i/>
        </w:rPr>
      </w:pPr>
    </w:p>
    <w:p w14:paraId="635F14F8" w14:textId="61E5F1C8" w:rsidR="00B80A06" w:rsidRPr="00B80A06" w:rsidRDefault="00FB6F77" w:rsidP="00B80A06">
      <w:pPr>
        <w:spacing w:after="0"/>
        <w:rPr>
          <w:i/>
        </w:rPr>
      </w:pPr>
      <w:r>
        <w:rPr>
          <w:i/>
        </w:rPr>
        <w:t xml:space="preserve">Table 3: </w:t>
      </w:r>
      <w:r w:rsidR="00B80A06" w:rsidRPr="00B80A06">
        <w:rPr>
          <w:i/>
        </w:rPr>
        <w:t xml:space="preserve">Mean Gender Pay Gap </w:t>
      </w:r>
    </w:p>
    <w:p w14:paraId="51B46468" w14:textId="77777777" w:rsidR="00B80A06" w:rsidRPr="00B80A06" w:rsidRDefault="00B80A06" w:rsidP="00B80A06">
      <w:pPr>
        <w:spacing w:after="0"/>
        <w:rPr>
          <w:i/>
        </w:rPr>
      </w:pPr>
    </w:p>
    <w:tbl>
      <w:tblPr>
        <w:tblStyle w:val="TableGrid"/>
        <w:tblW w:w="0" w:type="auto"/>
        <w:tblLook w:val="04A0" w:firstRow="1" w:lastRow="0" w:firstColumn="1" w:lastColumn="0" w:noHBand="0" w:noVBand="1"/>
      </w:tblPr>
      <w:tblGrid>
        <w:gridCol w:w="1581"/>
        <w:gridCol w:w="1581"/>
        <w:gridCol w:w="1581"/>
        <w:gridCol w:w="1581"/>
        <w:gridCol w:w="1582"/>
        <w:gridCol w:w="1582"/>
      </w:tblGrid>
      <w:tr w:rsidR="00FB6F77" w:rsidRPr="00B80A06" w14:paraId="42491767" w14:textId="77777777" w:rsidTr="00FB6F77">
        <w:tc>
          <w:tcPr>
            <w:tcW w:w="1583" w:type="dxa"/>
            <w:shd w:val="clear" w:color="auto" w:fill="92D050"/>
            <w:hideMark/>
          </w:tcPr>
          <w:p w14:paraId="1C52A8FB" w14:textId="77777777" w:rsidR="00FB6F77" w:rsidRPr="00B80A06" w:rsidRDefault="00FB6F77" w:rsidP="00FB6F77">
            <w:pPr>
              <w:jc w:val="center"/>
              <w:rPr>
                <w:lang w:eastAsia="en-GB"/>
              </w:rPr>
            </w:pPr>
            <w:r w:rsidRPr="00B80A06">
              <w:rPr>
                <w:lang w:eastAsia="en-GB"/>
              </w:rPr>
              <w:t>Male average hourly rate</w:t>
            </w:r>
          </w:p>
        </w:tc>
        <w:tc>
          <w:tcPr>
            <w:tcW w:w="1583" w:type="dxa"/>
            <w:shd w:val="clear" w:color="auto" w:fill="92D050"/>
            <w:hideMark/>
          </w:tcPr>
          <w:p w14:paraId="2A296852" w14:textId="77777777" w:rsidR="00FB6F77" w:rsidRPr="00B80A06" w:rsidRDefault="00FB6F77" w:rsidP="00FB6F77">
            <w:pPr>
              <w:jc w:val="center"/>
              <w:rPr>
                <w:lang w:eastAsia="en-GB"/>
              </w:rPr>
            </w:pPr>
            <w:r w:rsidRPr="00B80A06">
              <w:rPr>
                <w:lang w:eastAsia="en-GB"/>
              </w:rPr>
              <w:t>Male</w:t>
            </w:r>
          </w:p>
          <w:p w14:paraId="1193E20A" w14:textId="77777777" w:rsidR="00FB6F77" w:rsidRPr="00B80A06" w:rsidRDefault="00FB6F77" w:rsidP="00FB6F77">
            <w:pPr>
              <w:jc w:val="center"/>
              <w:rPr>
                <w:lang w:eastAsia="en-GB"/>
              </w:rPr>
            </w:pPr>
            <w:r w:rsidRPr="00B80A06">
              <w:rPr>
                <w:lang w:eastAsia="en-GB"/>
              </w:rPr>
              <w:t>head count</w:t>
            </w:r>
          </w:p>
        </w:tc>
        <w:tc>
          <w:tcPr>
            <w:tcW w:w="1583" w:type="dxa"/>
            <w:shd w:val="clear" w:color="auto" w:fill="92D050"/>
            <w:hideMark/>
          </w:tcPr>
          <w:p w14:paraId="715361B6" w14:textId="77777777" w:rsidR="00FB6F77" w:rsidRPr="00B80A06" w:rsidRDefault="00FB6F77" w:rsidP="00FB6F77">
            <w:pPr>
              <w:jc w:val="center"/>
              <w:rPr>
                <w:lang w:eastAsia="en-GB"/>
              </w:rPr>
            </w:pPr>
            <w:r w:rsidRPr="00B80A06">
              <w:rPr>
                <w:lang w:eastAsia="en-GB"/>
              </w:rPr>
              <w:t>Female average hourly rate</w:t>
            </w:r>
          </w:p>
        </w:tc>
        <w:tc>
          <w:tcPr>
            <w:tcW w:w="1583" w:type="dxa"/>
            <w:shd w:val="clear" w:color="auto" w:fill="92D050"/>
            <w:hideMark/>
          </w:tcPr>
          <w:p w14:paraId="26D87948" w14:textId="77777777" w:rsidR="00FB6F77" w:rsidRPr="00B80A06" w:rsidRDefault="00FB6F77" w:rsidP="00FB6F77">
            <w:pPr>
              <w:jc w:val="center"/>
              <w:rPr>
                <w:lang w:eastAsia="en-GB"/>
              </w:rPr>
            </w:pPr>
            <w:r w:rsidRPr="00B80A06">
              <w:rPr>
                <w:lang w:eastAsia="en-GB"/>
              </w:rPr>
              <w:t>Female</w:t>
            </w:r>
          </w:p>
          <w:p w14:paraId="59B183DD" w14:textId="77777777" w:rsidR="00FB6F77" w:rsidRPr="00B80A06" w:rsidRDefault="00FB6F77" w:rsidP="00FB6F77">
            <w:pPr>
              <w:jc w:val="center"/>
              <w:rPr>
                <w:lang w:eastAsia="en-GB"/>
              </w:rPr>
            </w:pPr>
            <w:r w:rsidRPr="00B80A06">
              <w:rPr>
                <w:lang w:eastAsia="en-GB"/>
              </w:rPr>
              <w:t>head count</w:t>
            </w:r>
          </w:p>
        </w:tc>
        <w:tc>
          <w:tcPr>
            <w:tcW w:w="1583" w:type="dxa"/>
            <w:shd w:val="clear" w:color="auto" w:fill="92D050"/>
            <w:hideMark/>
          </w:tcPr>
          <w:p w14:paraId="0A1CA4C8" w14:textId="77777777" w:rsidR="00FB6F77" w:rsidRPr="00FB6F77" w:rsidRDefault="00FB6F77" w:rsidP="00FB6F77">
            <w:pPr>
              <w:jc w:val="center"/>
              <w:rPr>
                <w:b/>
                <w:bCs/>
                <w:lang w:eastAsia="en-GB"/>
              </w:rPr>
            </w:pPr>
            <w:r w:rsidRPr="00FB6F77">
              <w:rPr>
                <w:b/>
                <w:bCs/>
                <w:lang w:eastAsia="en-GB"/>
              </w:rPr>
              <w:t>Gender Pay Gap Percentage</w:t>
            </w:r>
          </w:p>
        </w:tc>
        <w:tc>
          <w:tcPr>
            <w:tcW w:w="1583" w:type="dxa"/>
            <w:shd w:val="clear" w:color="auto" w:fill="92D050"/>
            <w:hideMark/>
          </w:tcPr>
          <w:p w14:paraId="07EA4AED" w14:textId="77777777" w:rsidR="00FB6F77" w:rsidRPr="00B80A06" w:rsidRDefault="00FB6F77" w:rsidP="00FB6F77">
            <w:pPr>
              <w:jc w:val="center"/>
              <w:rPr>
                <w:lang w:eastAsia="en-GB"/>
              </w:rPr>
            </w:pPr>
            <w:r w:rsidRPr="00B80A06">
              <w:rPr>
                <w:lang w:eastAsia="en-GB"/>
              </w:rPr>
              <w:t>Monetary Difference</w:t>
            </w:r>
          </w:p>
        </w:tc>
      </w:tr>
      <w:tr w:rsidR="00FB6F77" w:rsidRPr="00B80A06" w14:paraId="3A2CD9BD" w14:textId="77777777" w:rsidTr="00FB6F77">
        <w:tc>
          <w:tcPr>
            <w:tcW w:w="1583" w:type="dxa"/>
            <w:hideMark/>
          </w:tcPr>
          <w:p w14:paraId="4ECE2976" w14:textId="1AC0EA47" w:rsidR="00FB6F77" w:rsidRPr="00B80A06" w:rsidRDefault="00FB6F77" w:rsidP="00FB6F77">
            <w:pPr>
              <w:jc w:val="center"/>
              <w:rPr>
                <w:lang w:eastAsia="en-GB"/>
              </w:rPr>
            </w:pPr>
            <w:r w:rsidRPr="00B80A06">
              <w:rPr>
                <w:lang w:eastAsia="en-GB"/>
              </w:rPr>
              <w:t>£</w:t>
            </w:r>
            <w:r w:rsidR="00B80DE4">
              <w:rPr>
                <w:lang w:eastAsia="en-GB"/>
              </w:rPr>
              <w:t>2</w:t>
            </w:r>
            <w:r w:rsidR="00BA0547">
              <w:rPr>
                <w:lang w:eastAsia="en-GB"/>
              </w:rPr>
              <w:t>7</w:t>
            </w:r>
            <w:r w:rsidR="00C11C7E">
              <w:rPr>
                <w:lang w:eastAsia="en-GB"/>
              </w:rPr>
              <w:t>.</w:t>
            </w:r>
            <w:r w:rsidR="00BA0547">
              <w:rPr>
                <w:lang w:eastAsia="en-GB"/>
              </w:rPr>
              <w:t>66</w:t>
            </w:r>
          </w:p>
        </w:tc>
        <w:tc>
          <w:tcPr>
            <w:tcW w:w="1583" w:type="dxa"/>
            <w:hideMark/>
          </w:tcPr>
          <w:p w14:paraId="56197D97" w14:textId="76DF70BC" w:rsidR="00FB6F77" w:rsidRPr="00B80A06" w:rsidRDefault="00BA0547" w:rsidP="00FB6F77">
            <w:pPr>
              <w:jc w:val="center"/>
              <w:rPr>
                <w:lang w:eastAsia="en-GB"/>
              </w:rPr>
            </w:pPr>
            <w:r>
              <w:rPr>
                <w:lang w:eastAsia="en-GB"/>
              </w:rPr>
              <w:t>56</w:t>
            </w:r>
          </w:p>
        </w:tc>
        <w:tc>
          <w:tcPr>
            <w:tcW w:w="1583" w:type="dxa"/>
            <w:hideMark/>
          </w:tcPr>
          <w:p w14:paraId="2AF3EF03" w14:textId="6E1B4A82" w:rsidR="00FB6F77" w:rsidRPr="00B80A06" w:rsidRDefault="00FB6F77" w:rsidP="00FB6F77">
            <w:pPr>
              <w:jc w:val="center"/>
              <w:rPr>
                <w:lang w:eastAsia="en-GB"/>
              </w:rPr>
            </w:pPr>
            <w:r w:rsidRPr="00B80A06">
              <w:rPr>
                <w:lang w:eastAsia="en-GB"/>
              </w:rPr>
              <w:t>£</w:t>
            </w:r>
            <w:r w:rsidR="00B80DE4">
              <w:rPr>
                <w:lang w:eastAsia="en-GB"/>
              </w:rPr>
              <w:t>1</w:t>
            </w:r>
            <w:r w:rsidR="00C11C7E">
              <w:rPr>
                <w:lang w:eastAsia="en-GB"/>
              </w:rPr>
              <w:t>7.2</w:t>
            </w:r>
            <w:r w:rsidR="00BA0547">
              <w:rPr>
                <w:lang w:eastAsia="en-GB"/>
              </w:rPr>
              <w:t>6</w:t>
            </w:r>
          </w:p>
        </w:tc>
        <w:tc>
          <w:tcPr>
            <w:tcW w:w="1583" w:type="dxa"/>
            <w:hideMark/>
          </w:tcPr>
          <w:p w14:paraId="6B2501CE" w14:textId="6FD98E54" w:rsidR="00FB6F77" w:rsidRPr="00B80A06" w:rsidRDefault="00BA0547" w:rsidP="00FB6F77">
            <w:pPr>
              <w:jc w:val="center"/>
              <w:rPr>
                <w:lang w:eastAsia="en-GB"/>
              </w:rPr>
            </w:pPr>
            <w:r>
              <w:rPr>
                <w:lang w:eastAsia="en-GB"/>
              </w:rPr>
              <w:t>479</w:t>
            </w:r>
          </w:p>
        </w:tc>
        <w:tc>
          <w:tcPr>
            <w:tcW w:w="1583" w:type="dxa"/>
            <w:hideMark/>
          </w:tcPr>
          <w:p w14:paraId="05C33320" w14:textId="1DB26ACF" w:rsidR="00FB6F77" w:rsidRPr="00FB6F77" w:rsidRDefault="00FB6F77" w:rsidP="00FB6F77">
            <w:pPr>
              <w:jc w:val="center"/>
              <w:rPr>
                <w:b/>
                <w:bCs/>
                <w:lang w:eastAsia="en-GB"/>
              </w:rPr>
            </w:pPr>
            <w:r w:rsidRPr="00FB6F77">
              <w:rPr>
                <w:b/>
                <w:bCs/>
                <w:lang w:eastAsia="en-GB"/>
              </w:rPr>
              <w:t>3</w:t>
            </w:r>
            <w:r w:rsidR="00BA0547">
              <w:rPr>
                <w:b/>
                <w:bCs/>
                <w:lang w:eastAsia="en-GB"/>
              </w:rPr>
              <w:t>8</w:t>
            </w:r>
            <w:r w:rsidR="0071481C">
              <w:rPr>
                <w:b/>
                <w:bCs/>
                <w:lang w:eastAsia="en-GB"/>
              </w:rPr>
              <w:t>.00</w:t>
            </w:r>
            <w:r w:rsidRPr="00FB6F77">
              <w:rPr>
                <w:b/>
                <w:bCs/>
                <w:lang w:eastAsia="en-GB"/>
              </w:rPr>
              <w:t>%</w:t>
            </w:r>
          </w:p>
        </w:tc>
        <w:tc>
          <w:tcPr>
            <w:tcW w:w="1583" w:type="dxa"/>
            <w:hideMark/>
          </w:tcPr>
          <w:p w14:paraId="2C8D0CB2" w14:textId="0C8E3871" w:rsidR="00FB6F77" w:rsidRPr="00B80A06" w:rsidRDefault="00BA0547" w:rsidP="00FB6F77">
            <w:pPr>
              <w:jc w:val="center"/>
              <w:rPr>
                <w:lang w:eastAsia="en-GB"/>
              </w:rPr>
            </w:pPr>
            <w:r>
              <w:rPr>
                <w:lang w:eastAsia="en-GB"/>
              </w:rPr>
              <w:t>£10.39</w:t>
            </w:r>
          </w:p>
        </w:tc>
      </w:tr>
    </w:tbl>
    <w:p w14:paraId="65A9EFAA" w14:textId="77777777" w:rsidR="00B80A06" w:rsidRPr="00B80A06" w:rsidRDefault="00B80A06" w:rsidP="00B80A06">
      <w:pPr>
        <w:spacing w:after="0"/>
      </w:pPr>
    </w:p>
    <w:p w14:paraId="1E904E8D" w14:textId="7359CFC9" w:rsidR="00B80A06" w:rsidRPr="00A8054E" w:rsidRDefault="005829BC" w:rsidP="00B80A06">
      <w:pPr>
        <w:spacing w:after="0"/>
        <w:rPr>
          <w:color w:val="000000" w:themeColor="text1"/>
        </w:rPr>
      </w:pPr>
      <w:r w:rsidRPr="00B80DE4">
        <w:rPr>
          <w:color w:val="000000" w:themeColor="text1"/>
        </w:rPr>
        <w:t>Overall,</w:t>
      </w:r>
      <w:r w:rsidR="00B80A06" w:rsidRPr="00B80DE4">
        <w:rPr>
          <w:color w:val="000000" w:themeColor="text1"/>
        </w:rPr>
        <w:t xml:space="preserve"> the Trust staff have a mean gender pay gap of </w:t>
      </w:r>
      <w:r w:rsidR="00C11C7E">
        <w:rPr>
          <w:color w:val="000000" w:themeColor="text1"/>
        </w:rPr>
        <w:t>3</w:t>
      </w:r>
      <w:r w:rsidR="00BA0547">
        <w:rPr>
          <w:color w:val="000000" w:themeColor="text1"/>
        </w:rPr>
        <w:t>8</w:t>
      </w:r>
      <w:r w:rsidR="00C11C7E">
        <w:rPr>
          <w:color w:val="000000" w:themeColor="text1"/>
        </w:rPr>
        <w:t>%</w:t>
      </w:r>
      <w:r w:rsidR="00DF2B67">
        <w:rPr>
          <w:color w:val="000000" w:themeColor="text1"/>
        </w:rPr>
        <w:t xml:space="preserve"> </w:t>
      </w:r>
      <w:r w:rsidR="00C11C7E">
        <w:rPr>
          <w:color w:val="000000" w:themeColor="text1"/>
        </w:rPr>
        <w:t>(£</w:t>
      </w:r>
      <w:r w:rsidR="00BA0547">
        <w:rPr>
          <w:color w:val="000000" w:themeColor="text1"/>
        </w:rPr>
        <w:t>10.39</w:t>
      </w:r>
      <w:r w:rsidR="00C11C7E">
        <w:rPr>
          <w:color w:val="000000" w:themeColor="text1"/>
        </w:rPr>
        <w:t xml:space="preserve"> per hour), (202</w:t>
      </w:r>
      <w:r w:rsidR="00BA0547">
        <w:rPr>
          <w:color w:val="000000" w:themeColor="text1"/>
        </w:rPr>
        <w:t>3</w:t>
      </w:r>
      <w:r w:rsidR="00C11C7E">
        <w:rPr>
          <w:color w:val="000000" w:themeColor="text1"/>
        </w:rPr>
        <w:t xml:space="preserve">: </w:t>
      </w:r>
      <w:r w:rsidR="001666BE" w:rsidRPr="00B80DE4">
        <w:rPr>
          <w:color w:val="000000" w:themeColor="text1"/>
        </w:rPr>
        <w:t>3</w:t>
      </w:r>
      <w:r w:rsidR="00BA0547">
        <w:rPr>
          <w:color w:val="000000" w:themeColor="text1"/>
        </w:rPr>
        <w:t>2</w:t>
      </w:r>
      <w:r w:rsidR="00B80A06" w:rsidRPr="00B80DE4">
        <w:rPr>
          <w:color w:val="000000" w:themeColor="text1"/>
        </w:rPr>
        <w:t>% (£</w:t>
      </w:r>
      <w:r w:rsidR="00BA0547">
        <w:rPr>
          <w:color w:val="000000" w:themeColor="text1"/>
        </w:rPr>
        <w:t>8.21</w:t>
      </w:r>
      <w:r w:rsidR="00B80A06" w:rsidRPr="00B80DE4">
        <w:rPr>
          <w:color w:val="000000" w:themeColor="text1"/>
        </w:rPr>
        <w:t xml:space="preserve"> per hour). The reason for this can be explained using the data analysis below</w:t>
      </w:r>
      <w:r w:rsidR="00625649" w:rsidRPr="00B80DE4">
        <w:rPr>
          <w:color w:val="000000" w:themeColor="text1"/>
        </w:rPr>
        <w:t xml:space="preserve"> (depicting all relevant employees)</w:t>
      </w:r>
      <w:r w:rsidR="00B80A06" w:rsidRPr="00B80DE4">
        <w:rPr>
          <w:color w:val="000000" w:themeColor="text1"/>
        </w:rPr>
        <w:t xml:space="preserve">, which show the mean average gender pay gap </w:t>
      </w:r>
      <w:r w:rsidR="00625649" w:rsidRPr="00B80DE4">
        <w:rPr>
          <w:color w:val="000000" w:themeColor="text1"/>
        </w:rPr>
        <w:t>by</w:t>
      </w:r>
      <w:r w:rsidR="00B80A06" w:rsidRPr="00B80DE4">
        <w:rPr>
          <w:color w:val="000000" w:themeColor="text1"/>
        </w:rPr>
        <w:t xml:space="preserve"> </w:t>
      </w:r>
      <w:r w:rsidR="00625649" w:rsidRPr="00B80DE4">
        <w:rPr>
          <w:color w:val="000000" w:themeColor="text1"/>
        </w:rPr>
        <w:t>job type</w:t>
      </w:r>
      <w:r w:rsidR="00B80A06" w:rsidRPr="00B80DE4">
        <w:rPr>
          <w:color w:val="000000" w:themeColor="text1"/>
        </w:rPr>
        <w:t xml:space="preserve"> (this does not </w:t>
      </w:r>
      <w:r w:rsidR="009D694D" w:rsidRPr="00B80DE4">
        <w:rPr>
          <w:color w:val="000000" w:themeColor="text1"/>
        </w:rPr>
        <w:t>consider</w:t>
      </w:r>
      <w:r w:rsidR="00B80A06" w:rsidRPr="00B80DE4">
        <w:rPr>
          <w:color w:val="000000" w:themeColor="text1"/>
        </w:rPr>
        <w:t xml:space="preserve"> the establishment setting </w:t>
      </w:r>
      <w:r w:rsidRPr="00B80DE4">
        <w:rPr>
          <w:color w:val="000000" w:themeColor="text1"/>
        </w:rPr>
        <w:t>i.e.,</w:t>
      </w:r>
      <w:r w:rsidR="00B80A06" w:rsidRPr="00B80DE4">
        <w:rPr>
          <w:color w:val="000000" w:themeColor="text1"/>
        </w:rPr>
        <w:t xml:space="preserve"> Trust Central, Primary or Secondary).</w:t>
      </w:r>
      <w:r w:rsidR="00B80A06" w:rsidRPr="00A8054E">
        <w:rPr>
          <w:color w:val="000000" w:themeColor="text1"/>
        </w:rPr>
        <w:t xml:space="preserve"> </w:t>
      </w:r>
    </w:p>
    <w:p w14:paraId="73B1346D" w14:textId="1AFBCC31" w:rsidR="00625649" w:rsidRDefault="00625649" w:rsidP="00B80A06">
      <w:pPr>
        <w:spacing w:after="0"/>
        <w:rPr>
          <w:color w:val="FF0000"/>
        </w:rPr>
      </w:pPr>
    </w:p>
    <w:p w14:paraId="56194564" w14:textId="77777777" w:rsidR="00B80DE4" w:rsidRDefault="00B80DE4" w:rsidP="00B80A06">
      <w:pPr>
        <w:spacing w:after="0"/>
        <w:rPr>
          <w:i/>
        </w:rPr>
      </w:pPr>
    </w:p>
    <w:p w14:paraId="52DEACBD" w14:textId="77777777" w:rsidR="00B80DE4" w:rsidRDefault="00B80DE4" w:rsidP="00B80A06">
      <w:pPr>
        <w:spacing w:after="0"/>
        <w:rPr>
          <w:i/>
        </w:rPr>
      </w:pPr>
    </w:p>
    <w:p w14:paraId="637319DF" w14:textId="77777777" w:rsidR="00B80DE4" w:rsidRDefault="00B80DE4" w:rsidP="00B80A06">
      <w:pPr>
        <w:spacing w:after="0"/>
        <w:rPr>
          <w:i/>
        </w:rPr>
      </w:pPr>
    </w:p>
    <w:p w14:paraId="11F5AEB2" w14:textId="77777777" w:rsidR="00B80DE4" w:rsidRDefault="00B80DE4" w:rsidP="00B80A06">
      <w:pPr>
        <w:spacing w:after="0"/>
        <w:rPr>
          <w:i/>
        </w:rPr>
      </w:pPr>
    </w:p>
    <w:p w14:paraId="1CA88403" w14:textId="77777777" w:rsidR="00B80DE4" w:rsidRDefault="00B80DE4" w:rsidP="00B80A06">
      <w:pPr>
        <w:spacing w:after="0"/>
        <w:rPr>
          <w:i/>
        </w:rPr>
      </w:pPr>
    </w:p>
    <w:p w14:paraId="2A8C3A9E" w14:textId="193B8D4D" w:rsidR="005829BC" w:rsidRDefault="005829BC" w:rsidP="00B80A06">
      <w:pPr>
        <w:spacing w:after="0"/>
        <w:rPr>
          <w:i/>
        </w:rPr>
      </w:pPr>
      <w:r w:rsidRPr="00714ECE">
        <w:rPr>
          <w:i/>
        </w:rPr>
        <w:t>Table 4: Relevant Employees Average Salary by Job Type</w:t>
      </w:r>
    </w:p>
    <w:p w14:paraId="397D0F5B" w14:textId="77777777" w:rsidR="005829BC" w:rsidRPr="005829BC" w:rsidRDefault="005829BC" w:rsidP="00B80A06">
      <w:pPr>
        <w:spacing w:after="0"/>
        <w:rPr>
          <w:i/>
        </w:rPr>
      </w:pPr>
    </w:p>
    <w:tbl>
      <w:tblPr>
        <w:tblStyle w:val="TableGrid"/>
        <w:tblW w:w="10409" w:type="dxa"/>
        <w:tblLayout w:type="fixed"/>
        <w:tblLook w:val="04A0" w:firstRow="1" w:lastRow="0" w:firstColumn="1" w:lastColumn="0" w:noHBand="0" w:noVBand="1"/>
      </w:tblPr>
      <w:tblGrid>
        <w:gridCol w:w="1376"/>
        <w:gridCol w:w="2258"/>
        <w:gridCol w:w="2258"/>
        <w:gridCol w:w="2258"/>
        <w:gridCol w:w="2259"/>
      </w:tblGrid>
      <w:tr w:rsidR="00625649" w:rsidRPr="00625649" w14:paraId="2CB29989" w14:textId="77777777" w:rsidTr="00625649">
        <w:trPr>
          <w:trHeight w:val="576"/>
        </w:trPr>
        <w:tc>
          <w:tcPr>
            <w:tcW w:w="1376" w:type="dxa"/>
            <w:shd w:val="clear" w:color="auto" w:fill="92D050"/>
            <w:noWrap/>
            <w:hideMark/>
          </w:tcPr>
          <w:p w14:paraId="1D7570F2" w14:textId="7177B950" w:rsidR="00625649" w:rsidRPr="00625649" w:rsidRDefault="00625649" w:rsidP="00625649">
            <w:pPr>
              <w:rPr>
                <w:rFonts w:eastAsia="Times New Roman" w:cstheme="minorHAnsi"/>
                <w:color w:val="000000"/>
                <w:lang w:eastAsia="en-GB"/>
              </w:rPr>
            </w:pPr>
            <w:r w:rsidRPr="00625649">
              <w:rPr>
                <w:rFonts w:eastAsia="Times New Roman" w:cstheme="minorHAnsi"/>
                <w:color w:val="000000"/>
                <w:lang w:eastAsia="en-GB"/>
              </w:rPr>
              <w:t xml:space="preserve">Job </w:t>
            </w:r>
            <w:r>
              <w:rPr>
                <w:rFonts w:eastAsia="Times New Roman" w:cstheme="minorHAnsi"/>
                <w:color w:val="000000"/>
                <w:lang w:eastAsia="en-GB"/>
              </w:rPr>
              <w:t>Type</w:t>
            </w:r>
          </w:p>
        </w:tc>
        <w:tc>
          <w:tcPr>
            <w:tcW w:w="2258" w:type="dxa"/>
            <w:shd w:val="clear" w:color="auto" w:fill="92D050"/>
            <w:noWrap/>
            <w:hideMark/>
          </w:tcPr>
          <w:p w14:paraId="3D7AB301" w14:textId="3999D57D" w:rsidR="00625649" w:rsidRPr="00625649" w:rsidRDefault="00625649" w:rsidP="00625649">
            <w:pPr>
              <w:jc w:val="center"/>
              <w:rPr>
                <w:rFonts w:eastAsia="Times New Roman" w:cstheme="minorHAnsi"/>
                <w:color w:val="000000"/>
                <w:sz w:val="20"/>
                <w:szCs w:val="20"/>
                <w:lang w:eastAsia="en-GB"/>
              </w:rPr>
            </w:pPr>
            <w:r w:rsidRPr="00625649">
              <w:rPr>
                <w:rFonts w:eastAsia="Times New Roman" w:cstheme="minorHAnsi"/>
                <w:color w:val="000000"/>
                <w:sz w:val="20"/>
                <w:szCs w:val="20"/>
                <w:lang w:eastAsia="en-GB"/>
              </w:rPr>
              <w:t>Number of Males</w:t>
            </w:r>
          </w:p>
        </w:tc>
        <w:tc>
          <w:tcPr>
            <w:tcW w:w="2258" w:type="dxa"/>
            <w:shd w:val="clear" w:color="auto" w:fill="92D050"/>
            <w:hideMark/>
          </w:tcPr>
          <w:p w14:paraId="273204F5" w14:textId="15D9BFF5" w:rsidR="00625649" w:rsidRPr="00625649" w:rsidRDefault="00625649" w:rsidP="00625649">
            <w:pPr>
              <w:jc w:val="center"/>
              <w:rPr>
                <w:rFonts w:eastAsia="Times New Roman" w:cstheme="minorHAnsi"/>
                <w:b/>
                <w:bCs/>
                <w:color w:val="000000"/>
                <w:sz w:val="20"/>
                <w:szCs w:val="20"/>
                <w:lang w:eastAsia="en-GB"/>
              </w:rPr>
            </w:pPr>
            <w:r w:rsidRPr="00625649">
              <w:rPr>
                <w:rFonts w:eastAsia="Times New Roman" w:cstheme="minorHAnsi"/>
                <w:b/>
                <w:bCs/>
                <w:color w:val="000000"/>
                <w:sz w:val="20"/>
                <w:szCs w:val="20"/>
                <w:lang w:eastAsia="en-GB"/>
              </w:rPr>
              <w:t>Average Contracted Salary</w:t>
            </w:r>
          </w:p>
        </w:tc>
        <w:tc>
          <w:tcPr>
            <w:tcW w:w="2258" w:type="dxa"/>
            <w:shd w:val="clear" w:color="auto" w:fill="92D050"/>
            <w:noWrap/>
            <w:hideMark/>
          </w:tcPr>
          <w:p w14:paraId="44F4EB71" w14:textId="74F5CF02" w:rsidR="00625649" w:rsidRPr="00625649" w:rsidRDefault="00625649" w:rsidP="00625649">
            <w:pPr>
              <w:jc w:val="center"/>
              <w:rPr>
                <w:rFonts w:eastAsia="Times New Roman" w:cstheme="minorHAnsi"/>
                <w:color w:val="000000"/>
                <w:sz w:val="20"/>
                <w:szCs w:val="20"/>
                <w:lang w:eastAsia="en-GB"/>
              </w:rPr>
            </w:pPr>
            <w:r w:rsidRPr="00625649">
              <w:rPr>
                <w:rFonts w:eastAsia="Times New Roman" w:cstheme="minorHAnsi"/>
                <w:color w:val="000000"/>
                <w:sz w:val="20"/>
                <w:szCs w:val="20"/>
                <w:lang w:eastAsia="en-GB"/>
              </w:rPr>
              <w:t>Number of Female</w:t>
            </w:r>
            <w:r w:rsidR="002F53A7">
              <w:rPr>
                <w:rFonts w:eastAsia="Times New Roman" w:cstheme="minorHAnsi"/>
                <w:color w:val="000000"/>
                <w:sz w:val="20"/>
                <w:szCs w:val="20"/>
                <w:lang w:eastAsia="en-GB"/>
              </w:rPr>
              <w:t>s</w:t>
            </w:r>
          </w:p>
        </w:tc>
        <w:tc>
          <w:tcPr>
            <w:tcW w:w="2259" w:type="dxa"/>
            <w:shd w:val="clear" w:color="auto" w:fill="92D050"/>
            <w:hideMark/>
          </w:tcPr>
          <w:p w14:paraId="02F92FFC" w14:textId="401F23EB" w:rsidR="00625649" w:rsidRPr="001666BE" w:rsidRDefault="00625649" w:rsidP="00625649">
            <w:pPr>
              <w:jc w:val="center"/>
              <w:rPr>
                <w:rFonts w:eastAsia="Times New Roman" w:cstheme="minorHAnsi"/>
                <w:color w:val="000000"/>
                <w:sz w:val="20"/>
                <w:szCs w:val="20"/>
                <w:lang w:eastAsia="en-GB"/>
              </w:rPr>
            </w:pPr>
            <w:r w:rsidRPr="001666BE">
              <w:rPr>
                <w:rFonts w:eastAsia="Times New Roman" w:cstheme="minorHAnsi"/>
                <w:color w:val="000000"/>
                <w:sz w:val="20"/>
                <w:szCs w:val="20"/>
                <w:lang w:eastAsia="en-GB"/>
              </w:rPr>
              <w:t>Average Contracted Salary</w:t>
            </w:r>
          </w:p>
        </w:tc>
      </w:tr>
      <w:tr w:rsidR="001666BE" w:rsidRPr="00625649" w14:paraId="10E6D54D" w14:textId="77777777" w:rsidTr="00625649">
        <w:trPr>
          <w:trHeight w:val="300"/>
        </w:trPr>
        <w:tc>
          <w:tcPr>
            <w:tcW w:w="1376" w:type="dxa"/>
            <w:noWrap/>
            <w:hideMark/>
          </w:tcPr>
          <w:p w14:paraId="5AB8DF15" w14:textId="77777777" w:rsidR="001666BE" w:rsidRPr="00625649" w:rsidRDefault="001666BE" w:rsidP="001666BE">
            <w:pPr>
              <w:rPr>
                <w:rFonts w:eastAsia="Times New Roman" w:cstheme="minorHAnsi"/>
                <w:color w:val="000000"/>
                <w:lang w:eastAsia="en-GB"/>
              </w:rPr>
            </w:pPr>
            <w:r w:rsidRPr="00625649">
              <w:rPr>
                <w:rFonts w:eastAsia="Times New Roman" w:cstheme="minorHAnsi"/>
                <w:color w:val="000000"/>
                <w:lang w:eastAsia="en-GB"/>
              </w:rPr>
              <w:t>Trust</w:t>
            </w:r>
          </w:p>
        </w:tc>
        <w:tc>
          <w:tcPr>
            <w:tcW w:w="2258" w:type="dxa"/>
            <w:noWrap/>
            <w:hideMark/>
          </w:tcPr>
          <w:p w14:paraId="01530FF6" w14:textId="4244F023" w:rsidR="001666BE" w:rsidRPr="00625649" w:rsidRDefault="00EA662F" w:rsidP="001666BE">
            <w:pPr>
              <w:jc w:val="center"/>
              <w:rPr>
                <w:rFonts w:eastAsia="Times New Roman" w:cstheme="minorHAnsi"/>
                <w:color w:val="000000"/>
                <w:lang w:eastAsia="en-GB"/>
              </w:rPr>
            </w:pPr>
            <w:r>
              <w:t>5</w:t>
            </w:r>
          </w:p>
        </w:tc>
        <w:tc>
          <w:tcPr>
            <w:tcW w:w="2258" w:type="dxa"/>
            <w:noWrap/>
            <w:hideMark/>
          </w:tcPr>
          <w:p w14:paraId="6A97EFFC" w14:textId="649C6747" w:rsidR="001666BE" w:rsidRPr="001666BE" w:rsidRDefault="001666BE" w:rsidP="001666BE">
            <w:pPr>
              <w:jc w:val="center"/>
              <w:rPr>
                <w:rFonts w:eastAsia="Times New Roman" w:cstheme="minorHAnsi"/>
                <w:b/>
                <w:bCs/>
                <w:color w:val="000000"/>
                <w:lang w:eastAsia="en-GB"/>
              </w:rPr>
            </w:pPr>
            <w:r w:rsidRPr="001666BE">
              <w:rPr>
                <w:b/>
                <w:bCs/>
              </w:rPr>
              <w:t>£</w:t>
            </w:r>
            <w:r w:rsidR="00A71D13">
              <w:rPr>
                <w:b/>
                <w:bCs/>
              </w:rPr>
              <w:t>80,168.96</w:t>
            </w:r>
          </w:p>
        </w:tc>
        <w:tc>
          <w:tcPr>
            <w:tcW w:w="2258" w:type="dxa"/>
            <w:noWrap/>
            <w:hideMark/>
          </w:tcPr>
          <w:p w14:paraId="61DE8969" w14:textId="1D4A849F" w:rsidR="001666BE" w:rsidRPr="00625649" w:rsidRDefault="00EA662F" w:rsidP="001666BE">
            <w:pPr>
              <w:jc w:val="center"/>
              <w:rPr>
                <w:rFonts w:eastAsia="Times New Roman" w:cstheme="minorHAnsi"/>
                <w:color w:val="000000"/>
                <w:lang w:eastAsia="en-GB"/>
              </w:rPr>
            </w:pPr>
            <w:r>
              <w:t>4</w:t>
            </w:r>
          </w:p>
        </w:tc>
        <w:tc>
          <w:tcPr>
            <w:tcW w:w="2259" w:type="dxa"/>
            <w:noWrap/>
            <w:hideMark/>
          </w:tcPr>
          <w:p w14:paraId="314A77E8" w14:textId="7DF68E84" w:rsidR="001666BE" w:rsidRPr="0051406D" w:rsidRDefault="001666BE" w:rsidP="001666BE">
            <w:pPr>
              <w:jc w:val="center"/>
              <w:rPr>
                <w:rFonts w:eastAsia="Times New Roman" w:cstheme="minorHAnsi"/>
                <w:b/>
                <w:color w:val="000000"/>
                <w:lang w:eastAsia="en-GB"/>
              </w:rPr>
            </w:pPr>
            <w:r w:rsidRPr="0051406D">
              <w:rPr>
                <w:b/>
              </w:rPr>
              <w:t>£</w:t>
            </w:r>
            <w:r w:rsidR="00A71D13">
              <w:rPr>
                <w:b/>
              </w:rPr>
              <w:t>48,149.26</w:t>
            </w:r>
          </w:p>
        </w:tc>
      </w:tr>
      <w:tr w:rsidR="001666BE" w:rsidRPr="00625649" w14:paraId="1D3120D5" w14:textId="77777777" w:rsidTr="00625649">
        <w:trPr>
          <w:trHeight w:val="300"/>
        </w:trPr>
        <w:tc>
          <w:tcPr>
            <w:tcW w:w="1376" w:type="dxa"/>
            <w:noWrap/>
            <w:hideMark/>
          </w:tcPr>
          <w:p w14:paraId="0291B289" w14:textId="77777777" w:rsidR="001666BE" w:rsidRPr="00625649" w:rsidRDefault="001666BE" w:rsidP="001666BE">
            <w:pPr>
              <w:rPr>
                <w:rFonts w:eastAsia="Times New Roman" w:cstheme="minorHAnsi"/>
                <w:color w:val="000000"/>
                <w:lang w:eastAsia="en-GB"/>
              </w:rPr>
            </w:pPr>
            <w:r w:rsidRPr="00625649">
              <w:rPr>
                <w:rFonts w:eastAsia="Times New Roman" w:cstheme="minorHAnsi"/>
                <w:color w:val="000000"/>
                <w:lang w:eastAsia="en-GB"/>
              </w:rPr>
              <w:t>Leadership</w:t>
            </w:r>
          </w:p>
        </w:tc>
        <w:tc>
          <w:tcPr>
            <w:tcW w:w="2258" w:type="dxa"/>
            <w:noWrap/>
            <w:hideMark/>
          </w:tcPr>
          <w:p w14:paraId="2A7AD0CB" w14:textId="66D87119" w:rsidR="001666BE" w:rsidRPr="00625649" w:rsidRDefault="0071481C" w:rsidP="001666BE">
            <w:pPr>
              <w:jc w:val="center"/>
              <w:rPr>
                <w:rFonts w:eastAsia="Times New Roman" w:cstheme="minorHAnsi"/>
                <w:color w:val="000000"/>
                <w:lang w:eastAsia="en-GB"/>
              </w:rPr>
            </w:pPr>
            <w:r>
              <w:t>1</w:t>
            </w:r>
            <w:r w:rsidR="00EA662F">
              <w:t>7</w:t>
            </w:r>
          </w:p>
        </w:tc>
        <w:tc>
          <w:tcPr>
            <w:tcW w:w="2258" w:type="dxa"/>
            <w:noWrap/>
            <w:hideMark/>
          </w:tcPr>
          <w:p w14:paraId="44A8B6DE" w14:textId="5D7D5B3C" w:rsidR="001666BE" w:rsidRPr="001666BE" w:rsidRDefault="001666BE" w:rsidP="001666BE">
            <w:pPr>
              <w:jc w:val="center"/>
              <w:rPr>
                <w:rFonts w:eastAsia="Times New Roman" w:cstheme="minorHAnsi"/>
                <w:b/>
                <w:bCs/>
                <w:color w:val="000000"/>
                <w:lang w:eastAsia="en-GB"/>
              </w:rPr>
            </w:pPr>
            <w:r w:rsidRPr="001666BE">
              <w:rPr>
                <w:b/>
                <w:bCs/>
              </w:rPr>
              <w:t>£6</w:t>
            </w:r>
            <w:r w:rsidR="00A71D13">
              <w:rPr>
                <w:b/>
                <w:bCs/>
              </w:rPr>
              <w:t>4,369.57</w:t>
            </w:r>
          </w:p>
        </w:tc>
        <w:tc>
          <w:tcPr>
            <w:tcW w:w="2258" w:type="dxa"/>
            <w:noWrap/>
            <w:hideMark/>
          </w:tcPr>
          <w:p w14:paraId="177C3932" w14:textId="3EB4CC48" w:rsidR="001666BE" w:rsidRPr="00625649" w:rsidRDefault="00A71D13" w:rsidP="001666BE">
            <w:pPr>
              <w:jc w:val="center"/>
              <w:rPr>
                <w:rFonts w:eastAsia="Times New Roman" w:cstheme="minorHAnsi"/>
                <w:color w:val="000000"/>
                <w:lang w:eastAsia="en-GB"/>
              </w:rPr>
            </w:pPr>
            <w:r>
              <w:t>30</w:t>
            </w:r>
          </w:p>
        </w:tc>
        <w:tc>
          <w:tcPr>
            <w:tcW w:w="2259" w:type="dxa"/>
            <w:noWrap/>
            <w:hideMark/>
          </w:tcPr>
          <w:p w14:paraId="13AADEC6" w14:textId="26AB8A8A" w:rsidR="001666BE" w:rsidRPr="0051406D" w:rsidRDefault="001666BE" w:rsidP="001666BE">
            <w:pPr>
              <w:jc w:val="center"/>
              <w:rPr>
                <w:rFonts w:eastAsia="Times New Roman" w:cstheme="minorHAnsi"/>
                <w:b/>
                <w:color w:val="000000"/>
                <w:lang w:eastAsia="en-GB"/>
              </w:rPr>
            </w:pPr>
            <w:r w:rsidRPr="0051406D">
              <w:rPr>
                <w:b/>
              </w:rPr>
              <w:t>£</w:t>
            </w:r>
            <w:r w:rsidR="00BE4D1C" w:rsidRPr="0051406D">
              <w:rPr>
                <w:b/>
              </w:rPr>
              <w:t>5</w:t>
            </w:r>
            <w:r w:rsidR="00A71D13">
              <w:rPr>
                <w:b/>
              </w:rPr>
              <w:t>8,245.28</w:t>
            </w:r>
          </w:p>
        </w:tc>
      </w:tr>
      <w:tr w:rsidR="001666BE" w:rsidRPr="00625649" w14:paraId="1FEDB616" w14:textId="77777777" w:rsidTr="00625649">
        <w:trPr>
          <w:trHeight w:val="300"/>
        </w:trPr>
        <w:tc>
          <w:tcPr>
            <w:tcW w:w="1376" w:type="dxa"/>
            <w:noWrap/>
            <w:hideMark/>
          </w:tcPr>
          <w:p w14:paraId="00C54920" w14:textId="77777777" w:rsidR="001666BE" w:rsidRPr="00625649" w:rsidRDefault="001666BE" w:rsidP="001666BE">
            <w:pPr>
              <w:rPr>
                <w:rFonts w:eastAsia="Times New Roman" w:cstheme="minorHAnsi"/>
                <w:color w:val="000000"/>
                <w:lang w:eastAsia="en-GB"/>
              </w:rPr>
            </w:pPr>
            <w:r w:rsidRPr="00625649">
              <w:rPr>
                <w:rFonts w:eastAsia="Times New Roman" w:cstheme="minorHAnsi"/>
                <w:color w:val="000000"/>
                <w:lang w:eastAsia="en-GB"/>
              </w:rPr>
              <w:t>Teacher</w:t>
            </w:r>
          </w:p>
        </w:tc>
        <w:tc>
          <w:tcPr>
            <w:tcW w:w="2258" w:type="dxa"/>
            <w:noWrap/>
            <w:hideMark/>
          </w:tcPr>
          <w:p w14:paraId="2B92F784" w14:textId="651EBB31" w:rsidR="001666BE" w:rsidRPr="00625649" w:rsidRDefault="001666BE" w:rsidP="001666BE">
            <w:pPr>
              <w:jc w:val="center"/>
              <w:rPr>
                <w:rFonts w:eastAsia="Times New Roman" w:cstheme="minorHAnsi"/>
                <w:color w:val="000000"/>
                <w:lang w:eastAsia="en-GB"/>
              </w:rPr>
            </w:pPr>
            <w:r w:rsidRPr="006D3AB7">
              <w:t>1</w:t>
            </w:r>
            <w:r w:rsidR="00C11C7E">
              <w:t>5</w:t>
            </w:r>
          </w:p>
        </w:tc>
        <w:tc>
          <w:tcPr>
            <w:tcW w:w="2258" w:type="dxa"/>
            <w:noWrap/>
            <w:hideMark/>
          </w:tcPr>
          <w:p w14:paraId="402E40D8" w14:textId="4F0E2A63" w:rsidR="001666BE" w:rsidRPr="001666BE" w:rsidRDefault="001666BE" w:rsidP="001666BE">
            <w:pPr>
              <w:jc w:val="center"/>
              <w:rPr>
                <w:rFonts w:eastAsia="Times New Roman" w:cstheme="minorHAnsi"/>
                <w:b/>
                <w:bCs/>
                <w:color w:val="000000"/>
                <w:lang w:eastAsia="en-GB"/>
              </w:rPr>
            </w:pPr>
            <w:r w:rsidRPr="001666BE">
              <w:rPr>
                <w:b/>
                <w:bCs/>
              </w:rPr>
              <w:t>£</w:t>
            </w:r>
            <w:r w:rsidR="00A71D13">
              <w:rPr>
                <w:b/>
                <w:bCs/>
              </w:rPr>
              <w:t>43,398.13</w:t>
            </w:r>
          </w:p>
        </w:tc>
        <w:tc>
          <w:tcPr>
            <w:tcW w:w="2258" w:type="dxa"/>
            <w:noWrap/>
            <w:hideMark/>
          </w:tcPr>
          <w:p w14:paraId="497A8528" w14:textId="4019F88C" w:rsidR="001666BE" w:rsidRPr="00625649" w:rsidRDefault="00A71D13" w:rsidP="001666BE">
            <w:pPr>
              <w:jc w:val="center"/>
              <w:rPr>
                <w:rFonts w:eastAsia="Times New Roman" w:cstheme="minorHAnsi"/>
                <w:color w:val="000000"/>
                <w:lang w:eastAsia="en-GB"/>
              </w:rPr>
            </w:pPr>
            <w:r>
              <w:t>119</w:t>
            </w:r>
          </w:p>
        </w:tc>
        <w:tc>
          <w:tcPr>
            <w:tcW w:w="2259" w:type="dxa"/>
            <w:noWrap/>
            <w:hideMark/>
          </w:tcPr>
          <w:p w14:paraId="7C533A3A" w14:textId="65CDDB85" w:rsidR="001666BE" w:rsidRPr="0051406D" w:rsidRDefault="001666BE" w:rsidP="001666BE">
            <w:pPr>
              <w:jc w:val="center"/>
              <w:rPr>
                <w:rFonts w:eastAsia="Times New Roman" w:cstheme="minorHAnsi"/>
                <w:b/>
                <w:color w:val="000000"/>
                <w:lang w:eastAsia="en-GB"/>
              </w:rPr>
            </w:pPr>
            <w:r w:rsidRPr="0051406D">
              <w:rPr>
                <w:b/>
              </w:rPr>
              <w:t>£</w:t>
            </w:r>
            <w:r w:rsidR="00AD5223" w:rsidRPr="0051406D">
              <w:rPr>
                <w:b/>
              </w:rPr>
              <w:t>3</w:t>
            </w:r>
            <w:r w:rsidR="00A71D13">
              <w:rPr>
                <w:b/>
              </w:rPr>
              <w:t>5,636.17</w:t>
            </w:r>
          </w:p>
        </w:tc>
      </w:tr>
      <w:tr w:rsidR="001666BE" w:rsidRPr="00625649" w14:paraId="64CCC248" w14:textId="77777777" w:rsidTr="00625649">
        <w:trPr>
          <w:trHeight w:val="300"/>
        </w:trPr>
        <w:tc>
          <w:tcPr>
            <w:tcW w:w="1376" w:type="dxa"/>
            <w:noWrap/>
            <w:hideMark/>
          </w:tcPr>
          <w:p w14:paraId="7D6F3CEF" w14:textId="77777777" w:rsidR="001666BE" w:rsidRPr="00625649" w:rsidRDefault="001666BE" w:rsidP="001666BE">
            <w:pPr>
              <w:rPr>
                <w:rFonts w:eastAsia="Times New Roman" w:cstheme="minorHAnsi"/>
                <w:color w:val="000000"/>
                <w:lang w:eastAsia="en-GB"/>
              </w:rPr>
            </w:pPr>
            <w:r w:rsidRPr="00625649">
              <w:rPr>
                <w:rFonts w:eastAsia="Times New Roman" w:cstheme="minorHAnsi"/>
                <w:color w:val="000000"/>
                <w:lang w:eastAsia="en-GB"/>
              </w:rPr>
              <w:t>Support</w:t>
            </w:r>
          </w:p>
        </w:tc>
        <w:tc>
          <w:tcPr>
            <w:tcW w:w="2258" w:type="dxa"/>
            <w:noWrap/>
            <w:hideMark/>
          </w:tcPr>
          <w:p w14:paraId="2F819FF3" w14:textId="3677BD72" w:rsidR="001666BE" w:rsidRPr="00625649" w:rsidRDefault="00A71D13" w:rsidP="001666BE">
            <w:pPr>
              <w:jc w:val="center"/>
              <w:rPr>
                <w:rFonts w:eastAsia="Times New Roman" w:cstheme="minorHAnsi"/>
                <w:color w:val="000000"/>
                <w:lang w:eastAsia="en-GB"/>
              </w:rPr>
            </w:pPr>
            <w:r>
              <w:t>19</w:t>
            </w:r>
          </w:p>
        </w:tc>
        <w:tc>
          <w:tcPr>
            <w:tcW w:w="2258" w:type="dxa"/>
            <w:noWrap/>
            <w:hideMark/>
          </w:tcPr>
          <w:p w14:paraId="1AE20253" w14:textId="7B88C5FF" w:rsidR="001666BE" w:rsidRPr="001666BE" w:rsidRDefault="001666BE" w:rsidP="001666BE">
            <w:pPr>
              <w:jc w:val="center"/>
              <w:rPr>
                <w:rFonts w:eastAsia="Times New Roman" w:cstheme="minorHAnsi"/>
                <w:b/>
                <w:bCs/>
                <w:color w:val="000000"/>
                <w:lang w:eastAsia="en-GB"/>
              </w:rPr>
            </w:pPr>
            <w:r w:rsidRPr="001666BE">
              <w:rPr>
                <w:b/>
                <w:bCs/>
              </w:rPr>
              <w:t>£</w:t>
            </w:r>
            <w:r w:rsidR="00AD5223">
              <w:rPr>
                <w:b/>
                <w:bCs/>
              </w:rPr>
              <w:t>2</w:t>
            </w:r>
            <w:r w:rsidR="00A71D13">
              <w:rPr>
                <w:b/>
                <w:bCs/>
              </w:rPr>
              <w:t>6,000.56</w:t>
            </w:r>
          </w:p>
        </w:tc>
        <w:tc>
          <w:tcPr>
            <w:tcW w:w="2258" w:type="dxa"/>
            <w:noWrap/>
            <w:hideMark/>
          </w:tcPr>
          <w:p w14:paraId="6B7FE3D8" w14:textId="2C2420AA" w:rsidR="001666BE" w:rsidRPr="00625649" w:rsidRDefault="00A71D13" w:rsidP="001666BE">
            <w:pPr>
              <w:jc w:val="center"/>
              <w:rPr>
                <w:rFonts w:eastAsia="Times New Roman" w:cstheme="minorHAnsi"/>
                <w:color w:val="000000"/>
                <w:lang w:eastAsia="en-GB"/>
              </w:rPr>
            </w:pPr>
            <w:r>
              <w:t>347</w:t>
            </w:r>
          </w:p>
        </w:tc>
        <w:tc>
          <w:tcPr>
            <w:tcW w:w="2259" w:type="dxa"/>
            <w:noWrap/>
            <w:hideMark/>
          </w:tcPr>
          <w:p w14:paraId="2454D06E" w14:textId="2D965A7B" w:rsidR="001666BE" w:rsidRPr="0051406D" w:rsidRDefault="001666BE" w:rsidP="001666BE">
            <w:pPr>
              <w:jc w:val="center"/>
              <w:rPr>
                <w:rFonts w:eastAsia="Times New Roman" w:cstheme="minorHAnsi"/>
                <w:b/>
                <w:color w:val="000000"/>
                <w:lang w:eastAsia="en-GB"/>
              </w:rPr>
            </w:pPr>
            <w:r w:rsidRPr="0051406D">
              <w:rPr>
                <w:b/>
              </w:rPr>
              <w:t>£1</w:t>
            </w:r>
            <w:r w:rsidR="00A71D13">
              <w:rPr>
                <w:b/>
              </w:rPr>
              <w:t>2,362.96</w:t>
            </w:r>
          </w:p>
        </w:tc>
      </w:tr>
      <w:tr w:rsidR="001666BE" w:rsidRPr="00625649" w14:paraId="59A1400D" w14:textId="77777777" w:rsidTr="00625649">
        <w:trPr>
          <w:trHeight w:val="300"/>
        </w:trPr>
        <w:tc>
          <w:tcPr>
            <w:tcW w:w="1376" w:type="dxa"/>
            <w:shd w:val="clear" w:color="auto" w:fill="92D050"/>
            <w:noWrap/>
            <w:hideMark/>
          </w:tcPr>
          <w:p w14:paraId="1E463873" w14:textId="77777777" w:rsidR="001666BE" w:rsidRPr="00625649" w:rsidRDefault="001666BE" w:rsidP="001666BE">
            <w:pPr>
              <w:rPr>
                <w:rFonts w:eastAsia="Times New Roman" w:cstheme="minorHAnsi"/>
                <w:color w:val="000000"/>
                <w:lang w:eastAsia="en-GB"/>
              </w:rPr>
            </w:pPr>
            <w:r w:rsidRPr="00625649">
              <w:rPr>
                <w:rFonts w:eastAsia="Times New Roman" w:cstheme="minorHAnsi"/>
                <w:color w:val="000000"/>
                <w:lang w:eastAsia="en-GB"/>
              </w:rPr>
              <w:t>Grand Total</w:t>
            </w:r>
          </w:p>
        </w:tc>
        <w:tc>
          <w:tcPr>
            <w:tcW w:w="2258" w:type="dxa"/>
            <w:shd w:val="clear" w:color="auto" w:fill="92D050"/>
            <w:noWrap/>
            <w:hideMark/>
          </w:tcPr>
          <w:p w14:paraId="06F043A9" w14:textId="2241BBFC" w:rsidR="001666BE" w:rsidRPr="00625649" w:rsidRDefault="00A71D13" w:rsidP="001666BE">
            <w:pPr>
              <w:jc w:val="center"/>
              <w:rPr>
                <w:rFonts w:eastAsia="Times New Roman" w:cstheme="minorHAnsi"/>
                <w:color w:val="000000"/>
                <w:lang w:eastAsia="en-GB"/>
              </w:rPr>
            </w:pPr>
            <w:r>
              <w:t>56</w:t>
            </w:r>
          </w:p>
        </w:tc>
        <w:tc>
          <w:tcPr>
            <w:tcW w:w="2258" w:type="dxa"/>
            <w:shd w:val="clear" w:color="auto" w:fill="92D050"/>
            <w:noWrap/>
            <w:hideMark/>
          </w:tcPr>
          <w:p w14:paraId="4A60607E" w14:textId="78A7E15F" w:rsidR="001666BE" w:rsidRPr="001666BE" w:rsidRDefault="001666BE" w:rsidP="001666BE">
            <w:pPr>
              <w:jc w:val="center"/>
              <w:rPr>
                <w:rFonts w:eastAsia="Times New Roman" w:cstheme="minorHAnsi"/>
                <w:b/>
                <w:bCs/>
                <w:color w:val="000000"/>
                <w:lang w:eastAsia="en-GB"/>
              </w:rPr>
            </w:pPr>
          </w:p>
        </w:tc>
        <w:tc>
          <w:tcPr>
            <w:tcW w:w="2258" w:type="dxa"/>
            <w:shd w:val="clear" w:color="auto" w:fill="92D050"/>
            <w:noWrap/>
            <w:hideMark/>
          </w:tcPr>
          <w:p w14:paraId="6E62A128" w14:textId="6F326805" w:rsidR="001666BE" w:rsidRPr="00625649" w:rsidRDefault="00A71D13" w:rsidP="001666BE">
            <w:pPr>
              <w:jc w:val="center"/>
              <w:rPr>
                <w:rFonts w:eastAsia="Times New Roman" w:cstheme="minorHAnsi"/>
                <w:color w:val="000000"/>
                <w:lang w:eastAsia="en-GB"/>
              </w:rPr>
            </w:pPr>
            <w:r>
              <w:t>500</w:t>
            </w:r>
          </w:p>
        </w:tc>
        <w:tc>
          <w:tcPr>
            <w:tcW w:w="2259" w:type="dxa"/>
            <w:shd w:val="clear" w:color="auto" w:fill="92D050"/>
            <w:noWrap/>
            <w:hideMark/>
          </w:tcPr>
          <w:p w14:paraId="58CD5E23" w14:textId="78BB53D0" w:rsidR="001666BE" w:rsidRPr="0051406D" w:rsidRDefault="001666BE" w:rsidP="001666BE">
            <w:pPr>
              <w:jc w:val="center"/>
              <w:rPr>
                <w:rFonts w:eastAsia="Times New Roman" w:cstheme="minorHAnsi"/>
                <w:b/>
                <w:color w:val="000000"/>
                <w:lang w:eastAsia="en-GB"/>
              </w:rPr>
            </w:pPr>
          </w:p>
        </w:tc>
      </w:tr>
    </w:tbl>
    <w:p w14:paraId="43EECB1E" w14:textId="77777777" w:rsidR="00625649" w:rsidRPr="00FB6F77" w:rsidRDefault="00625649" w:rsidP="00B80A06">
      <w:pPr>
        <w:spacing w:after="0"/>
        <w:rPr>
          <w:color w:val="FF0000"/>
        </w:rPr>
      </w:pPr>
    </w:p>
    <w:p w14:paraId="4A67B5A9" w14:textId="2B86AF23" w:rsidR="00B80A06" w:rsidRPr="00E95034" w:rsidRDefault="00625649" w:rsidP="00B80A06">
      <w:pPr>
        <w:spacing w:after="0"/>
        <w:rPr>
          <w:color w:val="000000" w:themeColor="text1"/>
        </w:rPr>
      </w:pPr>
      <w:r w:rsidRPr="00A71D13">
        <w:rPr>
          <w:color w:val="000000" w:themeColor="text1"/>
        </w:rPr>
        <w:t xml:space="preserve">Although </w:t>
      </w:r>
      <w:r w:rsidR="005829BC" w:rsidRPr="00A71D13">
        <w:rPr>
          <w:color w:val="000000" w:themeColor="text1"/>
        </w:rPr>
        <w:t>female’s</w:t>
      </w:r>
      <w:r w:rsidRPr="00A71D13">
        <w:rPr>
          <w:color w:val="000000" w:themeColor="text1"/>
        </w:rPr>
        <w:t xml:space="preserve"> hold more senior positions within the Trust, their Male counter parts are in receipt of higher salaries. This may be due to previous periods of extended leave (</w:t>
      </w:r>
      <w:r w:rsidR="005829BC" w:rsidRPr="00A71D13">
        <w:rPr>
          <w:color w:val="000000" w:themeColor="text1"/>
        </w:rPr>
        <w:t>i.e.,</w:t>
      </w:r>
      <w:r w:rsidRPr="00A71D13">
        <w:rPr>
          <w:color w:val="000000" w:themeColor="text1"/>
        </w:rPr>
        <w:t xml:space="preserve"> Maternity Leave) which has consequently delayed their career progression up to and through Leadership</w:t>
      </w:r>
      <w:r w:rsidR="00C60D50" w:rsidRPr="00A71D13">
        <w:rPr>
          <w:color w:val="000000" w:themeColor="text1"/>
        </w:rPr>
        <w:t xml:space="preserve"> and they may hold part time positions</w:t>
      </w:r>
      <w:r w:rsidRPr="00A71D13">
        <w:rPr>
          <w:color w:val="000000" w:themeColor="text1"/>
        </w:rPr>
        <w:t xml:space="preserve">. </w:t>
      </w:r>
      <w:r w:rsidR="005829BC" w:rsidRPr="00A71D13">
        <w:rPr>
          <w:color w:val="000000" w:themeColor="text1"/>
        </w:rPr>
        <w:t>Similarly,</w:t>
      </w:r>
      <w:r w:rsidRPr="00A71D13">
        <w:rPr>
          <w:color w:val="000000" w:themeColor="text1"/>
        </w:rPr>
        <w:t xml:space="preserve"> t</w:t>
      </w:r>
      <w:r w:rsidR="00B80A06" w:rsidRPr="00A71D13">
        <w:rPr>
          <w:color w:val="000000" w:themeColor="text1"/>
        </w:rPr>
        <w:t xml:space="preserve">he majority of female employees working at the Trust are in support staff roles (i.e. cleaners, lunchtime supervisors and teaching assistants etc.). </w:t>
      </w:r>
      <w:r w:rsidR="00DD366A" w:rsidRPr="00A71D13">
        <w:rPr>
          <w:color w:val="000000" w:themeColor="text1"/>
        </w:rPr>
        <w:t>5</w:t>
      </w:r>
      <w:r w:rsidR="00A71D13" w:rsidRPr="00A71D13">
        <w:rPr>
          <w:color w:val="000000" w:themeColor="text1"/>
        </w:rPr>
        <w:t>6</w:t>
      </w:r>
      <w:r w:rsidR="00D1636D" w:rsidRPr="00A71D13">
        <w:rPr>
          <w:color w:val="000000" w:themeColor="text1"/>
        </w:rPr>
        <w:t>.2</w:t>
      </w:r>
      <w:r w:rsidR="00A71D13" w:rsidRPr="00A71D13">
        <w:rPr>
          <w:color w:val="000000" w:themeColor="text1"/>
        </w:rPr>
        <w:t>6</w:t>
      </w:r>
      <w:r w:rsidR="00DD366A" w:rsidRPr="00A71D13">
        <w:rPr>
          <w:color w:val="000000" w:themeColor="text1"/>
        </w:rPr>
        <w:t xml:space="preserve">% </w:t>
      </w:r>
      <w:r w:rsidR="00B80A06" w:rsidRPr="00A71D13">
        <w:rPr>
          <w:color w:val="000000" w:themeColor="text1"/>
        </w:rPr>
        <w:t xml:space="preserve">of female support staff positions are at </w:t>
      </w:r>
      <w:r w:rsidR="00A8054E" w:rsidRPr="00A71D13">
        <w:rPr>
          <w:color w:val="000000" w:themeColor="text1"/>
        </w:rPr>
        <w:t>SCP 20</w:t>
      </w:r>
      <w:r w:rsidR="00B80A06" w:rsidRPr="00A71D13">
        <w:rPr>
          <w:color w:val="000000" w:themeColor="text1"/>
        </w:rPr>
        <w:t xml:space="preserve"> or below, this contributes to the overall existing gender pay gap size of </w:t>
      </w:r>
      <w:r w:rsidR="00E95034" w:rsidRPr="00A71D13">
        <w:rPr>
          <w:color w:val="000000" w:themeColor="text1"/>
        </w:rPr>
        <w:t>3</w:t>
      </w:r>
      <w:r w:rsidR="00A71D13" w:rsidRPr="00A71D13">
        <w:rPr>
          <w:color w:val="000000" w:themeColor="text1"/>
        </w:rPr>
        <w:t>8</w:t>
      </w:r>
      <w:r w:rsidR="00E95034" w:rsidRPr="00A71D13">
        <w:rPr>
          <w:color w:val="000000" w:themeColor="text1"/>
        </w:rPr>
        <w:t>%.</w:t>
      </w:r>
    </w:p>
    <w:p w14:paraId="4AFCBEE7" w14:textId="77777777" w:rsidR="002A2955" w:rsidRPr="00B80A06" w:rsidRDefault="002A2955" w:rsidP="00B80A06">
      <w:pPr>
        <w:spacing w:after="0"/>
      </w:pPr>
    </w:p>
    <w:p w14:paraId="07B0ECD0" w14:textId="77777777" w:rsidR="00B80A06" w:rsidRPr="00B80A06" w:rsidRDefault="00B80A06" w:rsidP="00B80A06">
      <w:pPr>
        <w:pStyle w:val="Heading1"/>
      </w:pPr>
      <w:bookmarkStart w:id="9" w:name="_Toc69989919"/>
      <w:bookmarkStart w:id="10" w:name="_Toc83970640"/>
      <w:r w:rsidRPr="00B80A06">
        <w:t>Median gender pay gap</w:t>
      </w:r>
      <w:bookmarkEnd w:id="9"/>
      <w:bookmarkEnd w:id="10"/>
    </w:p>
    <w:p w14:paraId="470C2CCF" w14:textId="77777777" w:rsidR="002C0936" w:rsidRDefault="002C0936" w:rsidP="00B80A06">
      <w:pPr>
        <w:spacing w:after="0"/>
      </w:pPr>
    </w:p>
    <w:p w14:paraId="238ACEEC" w14:textId="6D49E612" w:rsidR="00B80A06" w:rsidRPr="00B80A06" w:rsidRDefault="00B80A06" w:rsidP="00B80A06">
      <w:pPr>
        <w:spacing w:after="0"/>
      </w:pPr>
      <w:r w:rsidRPr="00B80A06">
        <w:t>The median (average) of a data set is found by sorting all numbers in the data set from smallest to largest and then identify the middle (median) values in the set. The median gender pay gap is calculated on gross hourly rate, an employee’s part-time/full-time or term time only/all year status does not apply to this calculation.</w:t>
      </w:r>
    </w:p>
    <w:p w14:paraId="1F30F5AC" w14:textId="77777777" w:rsidR="00B80A06" w:rsidRPr="00B80A06" w:rsidRDefault="00B80A06" w:rsidP="00B80A06">
      <w:pPr>
        <w:spacing w:after="0"/>
      </w:pPr>
    </w:p>
    <w:p w14:paraId="344D9B55" w14:textId="77777777" w:rsidR="00B80A06" w:rsidRPr="00B80A06" w:rsidRDefault="00B80A06" w:rsidP="00B80A06">
      <w:pPr>
        <w:spacing w:after="0"/>
      </w:pPr>
      <w:r w:rsidRPr="00B80A06">
        <w:t xml:space="preserve">An example of how the median average is identified - </w:t>
      </w:r>
      <w:r w:rsidRPr="00B80A06">
        <w:tab/>
      </w:r>
      <w:r w:rsidRPr="00B80A06">
        <w:tab/>
        <w:t xml:space="preserve">1 1 3 4 5 </w:t>
      </w:r>
      <w:r w:rsidRPr="00B80A06">
        <w:rPr>
          <w:highlight w:val="yellow"/>
        </w:rPr>
        <w:t>5</w:t>
      </w:r>
      <w:r w:rsidRPr="00B80A06">
        <w:t xml:space="preserve"> 5 6 8 9 10</w:t>
      </w:r>
    </w:p>
    <w:p w14:paraId="204CC92C" w14:textId="77777777" w:rsidR="00B80A06" w:rsidRPr="00B80A06" w:rsidRDefault="00B80A06" w:rsidP="00B80A06">
      <w:pPr>
        <w:spacing w:after="0"/>
      </w:pPr>
      <w:r w:rsidRPr="00B80A06">
        <w:t>Highlighted is the median of the example data set</w:t>
      </w:r>
    </w:p>
    <w:tbl>
      <w:tblPr>
        <w:tblStyle w:val="AskEd"/>
        <w:tblpPr w:leftFromText="181" w:rightFromText="181" w:vertAnchor="text" w:horzAnchor="margin" w:tblpXSpec="right" w:tblpY="176"/>
        <w:tblW w:w="0" w:type="auto"/>
        <w:tblInd w:w="0" w:type="dxa"/>
        <w:tblBorders>
          <w:insideH w:val="none" w:sz="0" w:space="0" w:color="auto"/>
          <w:insideV w:val="none" w:sz="0" w:space="0" w:color="auto"/>
        </w:tblBorders>
        <w:tblLook w:val="04A0" w:firstRow="1" w:lastRow="0" w:firstColumn="1" w:lastColumn="0" w:noHBand="0" w:noVBand="1"/>
      </w:tblPr>
      <w:tblGrid>
        <w:gridCol w:w="354"/>
        <w:gridCol w:w="1697"/>
        <w:gridCol w:w="709"/>
        <w:gridCol w:w="1842"/>
        <w:gridCol w:w="354"/>
        <w:gridCol w:w="804"/>
      </w:tblGrid>
      <w:tr w:rsidR="00B80A06" w:rsidRPr="00B80A06" w14:paraId="58CE71CC" w14:textId="77777777" w:rsidTr="00B80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 w:type="dxa"/>
            <w:tcBorders>
              <w:bottom w:val="single" w:sz="4" w:space="0" w:color="auto"/>
            </w:tcBorders>
            <w:hideMark/>
          </w:tcPr>
          <w:p w14:paraId="3CCE66CA" w14:textId="77777777" w:rsidR="00B80A06" w:rsidRPr="00B80A06" w:rsidRDefault="00B80A06" w:rsidP="00B80A06">
            <w:pPr>
              <w:rPr>
                <w:lang w:eastAsia="en-GB"/>
              </w:rPr>
            </w:pPr>
            <w:r w:rsidRPr="00B80A06">
              <w:rPr>
                <w:lang w:eastAsia="en-GB"/>
              </w:rPr>
              <w:t>(</w:t>
            </w:r>
          </w:p>
        </w:tc>
        <w:tc>
          <w:tcPr>
            <w:tcW w:w="1697" w:type="dxa"/>
            <w:tcBorders>
              <w:top w:val="nil"/>
              <w:left w:val="nil"/>
              <w:bottom w:val="single" w:sz="4" w:space="0" w:color="auto"/>
              <w:right w:val="nil"/>
            </w:tcBorders>
            <w:hideMark/>
          </w:tcPr>
          <w:p w14:paraId="554A2A00"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Male median average hourly salary</w:t>
            </w:r>
          </w:p>
        </w:tc>
        <w:tc>
          <w:tcPr>
            <w:tcW w:w="709" w:type="dxa"/>
            <w:tcBorders>
              <w:top w:val="nil"/>
              <w:left w:val="nil"/>
              <w:bottom w:val="single" w:sz="4" w:space="0" w:color="auto"/>
              <w:right w:val="nil"/>
            </w:tcBorders>
            <w:hideMark/>
          </w:tcPr>
          <w:p w14:paraId="193A1AF1"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w:t>
            </w:r>
          </w:p>
        </w:tc>
        <w:tc>
          <w:tcPr>
            <w:tcW w:w="1842" w:type="dxa"/>
            <w:tcBorders>
              <w:top w:val="nil"/>
              <w:left w:val="nil"/>
              <w:bottom w:val="single" w:sz="4" w:space="0" w:color="auto"/>
              <w:right w:val="nil"/>
            </w:tcBorders>
            <w:hideMark/>
          </w:tcPr>
          <w:p w14:paraId="65285A54"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Female median average hourly rate</w:t>
            </w:r>
          </w:p>
        </w:tc>
        <w:tc>
          <w:tcPr>
            <w:tcW w:w="354" w:type="dxa"/>
            <w:tcBorders>
              <w:top w:val="nil"/>
              <w:left w:val="nil"/>
              <w:bottom w:val="single" w:sz="4" w:space="0" w:color="auto"/>
              <w:right w:val="nil"/>
            </w:tcBorders>
            <w:hideMark/>
          </w:tcPr>
          <w:p w14:paraId="581E2CFE"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w:t>
            </w:r>
          </w:p>
        </w:tc>
        <w:tc>
          <w:tcPr>
            <w:tcW w:w="804" w:type="dxa"/>
            <w:vMerge w:val="restart"/>
            <w:hideMark/>
          </w:tcPr>
          <w:p w14:paraId="18B0FC5E" w14:textId="77777777" w:rsidR="00B80A06" w:rsidRPr="00B80A06" w:rsidRDefault="00B80A06" w:rsidP="00B80A06">
            <w:pPr>
              <w:cnfStyle w:val="100000000000" w:firstRow="1" w:lastRow="0" w:firstColumn="0" w:lastColumn="0" w:oddVBand="0" w:evenVBand="0" w:oddHBand="0" w:evenHBand="0" w:firstRowFirstColumn="0" w:firstRowLastColumn="0" w:lastRowFirstColumn="0" w:lastRowLastColumn="0"/>
              <w:rPr>
                <w:lang w:eastAsia="en-GB"/>
              </w:rPr>
            </w:pPr>
            <w:r w:rsidRPr="00B80A06">
              <w:rPr>
                <w:lang w:eastAsia="en-GB"/>
              </w:rPr>
              <w:t>X 100</w:t>
            </w:r>
          </w:p>
        </w:tc>
      </w:tr>
      <w:tr w:rsidR="00B80A06" w:rsidRPr="00B80A06" w14:paraId="300FB3F8" w14:textId="77777777" w:rsidTr="00FB6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gridSpan w:val="5"/>
            <w:tcBorders>
              <w:top w:val="single" w:sz="4" w:space="0" w:color="auto"/>
            </w:tcBorders>
            <w:hideMark/>
          </w:tcPr>
          <w:p w14:paraId="02F07C2D" w14:textId="77777777" w:rsidR="00B80A06" w:rsidRPr="00B80A06" w:rsidRDefault="00B80A06" w:rsidP="00FB6F77">
            <w:pPr>
              <w:jc w:val="center"/>
              <w:rPr>
                <w:lang w:eastAsia="en-GB"/>
              </w:rPr>
            </w:pPr>
            <w:r w:rsidRPr="00B80A06">
              <w:rPr>
                <w:lang w:eastAsia="en-GB"/>
              </w:rPr>
              <w:t>Male median average hourly rate</w:t>
            </w:r>
          </w:p>
        </w:tc>
        <w:tc>
          <w:tcPr>
            <w:tcW w:w="0" w:type="auto"/>
            <w:vMerge/>
            <w:hideMark/>
          </w:tcPr>
          <w:p w14:paraId="5ED86E63" w14:textId="77777777" w:rsidR="00B80A06" w:rsidRPr="00B80A06" w:rsidRDefault="00B80A06" w:rsidP="00B80A06">
            <w:pPr>
              <w:cnfStyle w:val="000000100000" w:firstRow="0" w:lastRow="0" w:firstColumn="0" w:lastColumn="0" w:oddVBand="0" w:evenVBand="0" w:oddHBand="1" w:evenHBand="0" w:firstRowFirstColumn="0" w:firstRowLastColumn="0" w:lastRowFirstColumn="0" w:lastRowLastColumn="0"/>
              <w:rPr>
                <w:b/>
                <w:color w:val="000000" w:themeColor="text1"/>
                <w:lang w:eastAsia="en-GB"/>
              </w:rPr>
            </w:pPr>
          </w:p>
        </w:tc>
      </w:tr>
    </w:tbl>
    <w:p w14:paraId="65780011" w14:textId="77777777" w:rsidR="00B80A06" w:rsidRPr="00B80A06" w:rsidRDefault="00B80A06" w:rsidP="00B80A06">
      <w:pPr>
        <w:spacing w:after="0"/>
      </w:pPr>
    </w:p>
    <w:p w14:paraId="47A77740" w14:textId="77777777" w:rsidR="00B80A06" w:rsidRPr="00B80A06" w:rsidRDefault="00B80A06" w:rsidP="00B80A06">
      <w:pPr>
        <w:spacing w:after="0"/>
      </w:pPr>
      <w:r w:rsidRPr="00B80A06">
        <w:t xml:space="preserve">Median gender </w:t>
      </w:r>
      <w:proofErr w:type="gramStart"/>
      <w:r w:rsidRPr="00B80A06">
        <w:t>pay</w:t>
      </w:r>
      <w:proofErr w:type="gramEnd"/>
      <w:r w:rsidRPr="00B80A06">
        <w:t xml:space="preserve"> gap calculation </w:t>
      </w:r>
    </w:p>
    <w:p w14:paraId="7E969B60" w14:textId="77777777" w:rsidR="00B80A06" w:rsidRPr="00B80A06" w:rsidRDefault="00B80A06" w:rsidP="00B80A06">
      <w:pPr>
        <w:spacing w:after="0"/>
      </w:pPr>
    </w:p>
    <w:p w14:paraId="72D3BCDD" w14:textId="77777777" w:rsidR="00B80A06" w:rsidRPr="00B80A06" w:rsidRDefault="00B80A06" w:rsidP="00B80A06">
      <w:pPr>
        <w:spacing w:after="0"/>
      </w:pPr>
    </w:p>
    <w:p w14:paraId="40016864" w14:textId="77777777" w:rsidR="00B80A06" w:rsidRPr="00B80A06" w:rsidRDefault="00B80A06" w:rsidP="00B80A06">
      <w:pPr>
        <w:spacing w:after="0"/>
      </w:pPr>
    </w:p>
    <w:p w14:paraId="110E92C8" w14:textId="77777777" w:rsidR="00B80A06" w:rsidRPr="00B80A06" w:rsidRDefault="00B80A06" w:rsidP="00B80A06">
      <w:pPr>
        <w:spacing w:after="0"/>
        <w:rPr>
          <w:i/>
        </w:rPr>
      </w:pPr>
    </w:p>
    <w:p w14:paraId="7721BCF3" w14:textId="235CE02D" w:rsidR="00B80A06" w:rsidRPr="00B80A06" w:rsidRDefault="00FB6F77" w:rsidP="00B80A06">
      <w:pPr>
        <w:spacing w:after="0"/>
        <w:rPr>
          <w:i/>
        </w:rPr>
      </w:pPr>
      <w:r>
        <w:rPr>
          <w:i/>
        </w:rPr>
        <w:t xml:space="preserve">Table </w:t>
      </w:r>
      <w:r w:rsidR="005829BC">
        <w:rPr>
          <w:i/>
        </w:rPr>
        <w:t>5</w:t>
      </w:r>
      <w:r>
        <w:rPr>
          <w:i/>
        </w:rPr>
        <w:t xml:space="preserve">: </w:t>
      </w:r>
      <w:r w:rsidR="00B80A06" w:rsidRPr="00B80A06">
        <w:rPr>
          <w:i/>
        </w:rPr>
        <w:t xml:space="preserve">Median Gender Pay Gap </w:t>
      </w:r>
    </w:p>
    <w:tbl>
      <w:tblPr>
        <w:tblStyle w:val="TableGrid"/>
        <w:tblW w:w="5000" w:type="pct"/>
        <w:tblLook w:val="04A0" w:firstRow="1" w:lastRow="0" w:firstColumn="1" w:lastColumn="0" w:noHBand="0" w:noVBand="1"/>
      </w:tblPr>
      <w:tblGrid>
        <w:gridCol w:w="1580"/>
        <w:gridCol w:w="1580"/>
        <w:gridCol w:w="1583"/>
        <w:gridCol w:w="1581"/>
        <w:gridCol w:w="1581"/>
        <w:gridCol w:w="1583"/>
      </w:tblGrid>
      <w:tr w:rsidR="00FB6F77" w:rsidRPr="00B80A06" w14:paraId="05C90A6B" w14:textId="77777777" w:rsidTr="00FB6F77">
        <w:tc>
          <w:tcPr>
            <w:tcW w:w="833" w:type="pct"/>
            <w:shd w:val="clear" w:color="auto" w:fill="92D050"/>
            <w:vAlign w:val="center"/>
            <w:hideMark/>
          </w:tcPr>
          <w:p w14:paraId="03294BB3" w14:textId="77777777" w:rsidR="00FB6F77" w:rsidRPr="00B80A06" w:rsidRDefault="00FB6F77" w:rsidP="00FB6F77">
            <w:pPr>
              <w:jc w:val="center"/>
              <w:rPr>
                <w:lang w:eastAsia="en-GB"/>
              </w:rPr>
            </w:pPr>
            <w:r w:rsidRPr="00B80A06">
              <w:rPr>
                <w:lang w:eastAsia="en-GB"/>
              </w:rPr>
              <w:t>Male average hourly rate</w:t>
            </w:r>
          </w:p>
        </w:tc>
        <w:tc>
          <w:tcPr>
            <w:tcW w:w="833" w:type="pct"/>
            <w:shd w:val="clear" w:color="auto" w:fill="92D050"/>
            <w:vAlign w:val="center"/>
            <w:hideMark/>
          </w:tcPr>
          <w:p w14:paraId="6249BC96" w14:textId="77777777" w:rsidR="00FB6F77" w:rsidRPr="00B80A06" w:rsidRDefault="00FB6F77" w:rsidP="00FB6F77">
            <w:pPr>
              <w:jc w:val="center"/>
              <w:rPr>
                <w:lang w:eastAsia="en-GB"/>
              </w:rPr>
            </w:pPr>
            <w:r w:rsidRPr="00B80A06">
              <w:rPr>
                <w:lang w:eastAsia="en-GB"/>
              </w:rPr>
              <w:t>Male</w:t>
            </w:r>
          </w:p>
          <w:p w14:paraId="41D4A6ED" w14:textId="77777777" w:rsidR="00FB6F77" w:rsidRPr="00B80A06" w:rsidRDefault="00FB6F77" w:rsidP="00FB6F77">
            <w:pPr>
              <w:jc w:val="center"/>
              <w:rPr>
                <w:lang w:eastAsia="en-GB"/>
              </w:rPr>
            </w:pPr>
            <w:r w:rsidRPr="00B80A06">
              <w:rPr>
                <w:lang w:eastAsia="en-GB"/>
              </w:rPr>
              <w:t>head count</w:t>
            </w:r>
          </w:p>
        </w:tc>
        <w:tc>
          <w:tcPr>
            <w:tcW w:w="834" w:type="pct"/>
            <w:shd w:val="clear" w:color="auto" w:fill="92D050"/>
            <w:vAlign w:val="center"/>
            <w:hideMark/>
          </w:tcPr>
          <w:p w14:paraId="1614BA2D" w14:textId="77777777" w:rsidR="00FB6F77" w:rsidRPr="00B80A06" w:rsidRDefault="00FB6F77" w:rsidP="00FB6F77">
            <w:pPr>
              <w:jc w:val="center"/>
              <w:rPr>
                <w:lang w:eastAsia="en-GB"/>
              </w:rPr>
            </w:pPr>
            <w:r w:rsidRPr="00B80A06">
              <w:rPr>
                <w:lang w:eastAsia="en-GB"/>
              </w:rPr>
              <w:t>Female average hourly rate</w:t>
            </w:r>
          </w:p>
        </w:tc>
        <w:tc>
          <w:tcPr>
            <w:tcW w:w="833" w:type="pct"/>
            <w:shd w:val="clear" w:color="auto" w:fill="92D050"/>
            <w:vAlign w:val="center"/>
            <w:hideMark/>
          </w:tcPr>
          <w:p w14:paraId="34370F4A" w14:textId="77777777" w:rsidR="00FB6F77" w:rsidRPr="00B80A06" w:rsidRDefault="00FB6F77" w:rsidP="00FB6F77">
            <w:pPr>
              <w:jc w:val="center"/>
              <w:rPr>
                <w:lang w:eastAsia="en-GB"/>
              </w:rPr>
            </w:pPr>
            <w:r w:rsidRPr="00B80A06">
              <w:rPr>
                <w:lang w:eastAsia="en-GB"/>
              </w:rPr>
              <w:t>Female</w:t>
            </w:r>
          </w:p>
          <w:p w14:paraId="3F52538A" w14:textId="77777777" w:rsidR="00FB6F77" w:rsidRPr="00B80A06" w:rsidRDefault="00FB6F77" w:rsidP="00FB6F77">
            <w:pPr>
              <w:jc w:val="center"/>
              <w:rPr>
                <w:lang w:eastAsia="en-GB"/>
              </w:rPr>
            </w:pPr>
            <w:r w:rsidRPr="00B80A06">
              <w:rPr>
                <w:lang w:eastAsia="en-GB"/>
              </w:rPr>
              <w:t>head count</w:t>
            </w:r>
          </w:p>
        </w:tc>
        <w:tc>
          <w:tcPr>
            <w:tcW w:w="833" w:type="pct"/>
            <w:shd w:val="clear" w:color="auto" w:fill="92D050"/>
            <w:vAlign w:val="center"/>
            <w:hideMark/>
          </w:tcPr>
          <w:p w14:paraId="545B9DD0" w14:textId="77777777" w:rsidR="00FB6F77" w:rsidRPr="00FB6F77" w:rsidRDefault="00FB6F77" w:rsidP="00FB6F77">
            <w:pPr>
              <w:jc w:val="center"/>
              <w:rPr>
                <w:b/>
                <w:bCs/>
                <w:lang w:eastAsia="en-GB"/>
              </w:rPr>
            </w:pPr>
            <w:r w:rsidRPr="00FB6F77">
              <w:rPr>
                <w:b/>
                <w:bCs/>
                <w:lang w:eastAsia="en-GB"/>
              </w:rPr>
              <w:t>Gender Pay Gap Percentage</w:t>
            </w:r>
          </w:p>
        </w:tc>
        <w:tc>
          <w:tcPr>
            <w:tcW w:w="834" w:type="pct"/>
            <w:shd w:val="clear" w:color="auto" w:fill="92D050"/>
            <w:vAlign w:val="center"/>
            <w:hideMark/>
          </w:tcPr>
          <w:p w14:paraId="59C215BE" w14:textId="77777777" w:rsidR="00FB6F77" w:rsidRPr="00B80A06" w:rsidRDefault="00FB6F77" w:rsidP="00FB6F77">
            <w:pPr>
              <w:jc w:val="center"/>
              <w:rPr>
                <w:lang w:eastAsia="en-GB"/>
              </w:rPr>
            </w:pPr>
            <w:r w:rsidRPr="00B80A06">
              <w:rPr>
                <w:lang w:eastAsia="en-GB"/>
              </w:rPr>
              <w:t>Monetary Difference</w:t>
            </w:r>
          </w:p>
        </w:tc>
      </w:tr>
      <w:tr w:rsidR="00FB6F77" w:rsidRPr="00B80A06" w14:paraId="4F3DCB8F" w14:textId="77777777" w:rsidTr="00FB6F77">
        <w:tc>
          <w:tcPr>
            <w:tcW w:w="833" w:type="pct"/>
            <w:vAlign w:val="center"/>
            <w:hideMark/>
          </w:tcPr>
          <w:p w14:paraId="2853AF7C" w14:textId="1C088ADD" w:rsidR="00FB6F77" w:rsidRPr="00B80A06" w:rsidRDefault="00FB6F77" w:rsidP="00FB6F77">
            <w:pPr>
              <w:jc w:val="center"/>
              <w:rPr>
                <w:lang w:eastAsia="en-GB"/>
              </w:rPr>
            </w:pPr>
            <w:r w:rsidRPr="00B80A06">
              <w:rPr>
                <w:lang w:eastAsia="en-GB"/>
              </w:rPr>
              <w:t>£</w:t>
            </w:r>
            <w:r w:rsidR="008B3253">
              <w:rPr>
                <w:lang w:eastAsia="en-GB"/>
              </w:rPr>
              <w:t>2</w:t>
            </w:r>
            <w:r w:rsidR="00BA0547">
              <w:rPr>
                <w:lang w:eastAsia="en-GB"/>
              </w:rPr>
              <w:t>3.83</w:t>
            </w:r>
          </w:p>
        </w:tc>
        <w:tc>
          <w:tcPr>
            <w:tcW w:w="833" w:type="pct"/>
            <w:vAlign w:val="center"/>
            <w:hideMark/>
          </w:tcPr>
          <w:p w14:paraId="2D7FF3F3" w14:textId="3DDB7C96" w:rsidR="00FB6F77" w:rsidRPr="00B80A06" w:rsidRDefault="00BA0547" w:rsidP="00FB6F77">
            <w:pPr>
              <w:jc w:val="center"/>
              <w:rPr>
                <w:lang w:eastAsia="en-GB"/>
              </w:rPr>
            </w:pPr>
            <w:r>
              <w:rPr>
                <w:lang w:eastAsia="en-GB"/>
              </w:rPr>
              <w:t>56</w:t>
            </w:r>
          </w:p>
        </w:tc>
        <w:tc>
          <w:tcPr>
            <w:tcW w:w="834" w:type="pct"/>
            <w:vAlign w:val="center"/>
            <w:hideMark/>
          </w:tcPr>
          <w:p w14:paraId="20BE8B32" w14:textId="5316E7C5" w:rsidR="00FB6F77" w:rsidRPr="00B80A06" w:rsidRDefault="00FB6F77" w:rsidP="00FB6F77">
            <w:pPr>
              <w:jc w:val="center"/>
              <w:rPr>
                <w:lang w:eastAsia="en-GB"/>
              </w:rPr>
            </w:pPr>
            <w:r w:rsidRPr="00B80A06">
              <w:rPr>
                <w:lang w:eastAsia="en-GB"/>
              </w:rPr>
              <w:t>£</w:t>
            </w:r>
            <w:r w:rsidR="00FA6691">
              <w:rPr>
                <w:lang w:eastAsia="en-GB"/>
              </w:rPr>
              <w:t>1</w:t>
            </w:r>
            <w:r w:rsidR="00BA0547">
              <w:rPr>
                <w:lang w:eastAsia="en-GB"/>
              </w:rPr>
              <w:t>3</w:t>
            </w:r>
            <w:r w:rsidR="00E86D7E">
              <w:rPr>
                <w:lang w:eastAsia="en-GB"/>
              </w:rPr>
              <w:t>.47</w:t>
            </w:r>
          </w:p>
        </w:tc>
        <w:tc>
          <w:tcPr>
            <w:tcW w:w="833" w:type="pct"/>
            <w:vAlign w:val="center"/>
            <w:hideMark/>
          </w:tcPr>
          <w:p w14:paraId="48EEAF71" w14:textId="49149786" w:rsidR="00FB6F77" w:rsidRPr="00B80A06" w:rsidRDefault="00BA0547" w:rsidP="00FB6F77">
            <w:pPr>
              <w:jc w:val="center"/>
              <w:rPr>
                <w:lang w:eastAsia="en-GB"/>
              </w:rPr>
            </w:pPr>
            <w:r>
              <w:rPr>
                <w:lang w:eastAsia="en-GB"/>
              </w:rPr>
              <w:t>479</w:t>
            </w:r>
          </w:p>
        </w:tc>
        <w:tc>
          <w:tcPr>
            <w:tcW w:w="833" w:type="pct"/>
            <w:vAlign w:val="center"/>
            <w:hideMark/>
          </w:tcPr>
          <w:p w14:paraId="07CD5753" w14:textId="16B1E942" w:rsidR="00FB6F77" w:rsidRPr="00FB6F77" w:rsidRDefault="00E46E2F" w:rsidP="00FB6F77">
            <w:pPr>
              <w:jc w:val="center"/>
              <w:rPr>
                <w:b/>
                <w:bCs/>
                <w:lang w:eastAsia="en-GB"/>
              </w:rPr>
            </w:pPr>
            <w:r>
              <w:rPr>
                <w:b/>
                <w:bCs/>
                <w:lang w:eastAsia="en-GB"/>
              </w:rPr>
              <w:t>4</w:t>
            </w:r>
            <w:r w:rsidR="00BA0547">
              <w:rPr>
                <w:b/>
                <w:bCs/>
                <w:lang w:eastAsia="en-GB"/>
              </w:rPr>
              <w:t>3</w:t>
            </w:r>
            <w:r w:rsidR="002078D3">
              <w:rPr>
                <w:b/>
                <w:bCs/>
                <w:lang w:eastAsia="en-GB"/>
              </w:rPr>
              <w:t>.00</w:t>
            </w:r>
            <w:r w:rsidR="00FB6F77" w:rsidRPr="00FB6F77">
              <w:rPr>
                <w:b/>
                <w:bCs/>
                <w:lang w:eastAsia="en-GB"/>
              </w:rPr>
              <w:t>%</w:t>
            </w:r>
          </w:p>
        </w:tc>
        <w:tc>
          <w:tcPr>
            <w:tcW w:w="834" w:type="pct"/>
            <w:vAlign w:val="center"/>
            <w:hideMark/>
          </w:tcPr>
          <w:p w14:paraId="6B9BB363" w14:textId="1DEF01F3" w:rsidR="00FB6F77" w:rsidRPr="00B80A06" w:rsidRDefault="00FB6F77" w:rsidP="00FB6F77">
            <w:pPr>
              <w:jc w:val="center"/>
              <w:rPr>
                <w:lang w:eastAsia="en-GB"/>
              </w:rPr>
            </w:pPr>
            <w:r w:rsidRPr="00B80A06">
              <w:rPr>
                <w:lang w:eastAsia="en-GB"/>
              </w:rPr>
              <w:t>£</w:t>
            </w:r>
            <w:r w:rsidR="00BA0547">
              <w:rPr>
                <w:lang w:eastAsia="en-GB"/>
              </w:rPr>
              <w:t>10.36</w:t>
            </w:r>
          </w:p>
        </w:tc>
      </w:tr>
    </w:tbl>
    <w:p w14:paraId="5DC3C6D6" w14:textId="77777777" w:rsidR="00B80A06" w:rsidRPr="00B80A06" w:rsidRDefault="00B80A06" w:rsidP="00B80A06">
      <w:pPr>
        <w:spacing w:after="0"/>
        <w:rPr>
          <w:i/>
        </w:rPr>
      </w:pPr>
    </w:p>
    <w:p w14:paraId="76F7BDBD" w14:textId="77777777" w:rsidR="00CF2635" w:rsidRDefault="00CF2635" w:rsidP="00B80A06">
      <w:pPr>
        <w:spacing w:after="0"/>
      </w:pPr>
    </w:p>
    <w:p w14:paraId="2A9017CA" w14:textId="6D0A62B6" w:rsidR="00B80A06" w:rsidRPr="00B80A06" w:rsidRDefault="005829BC" w:rsidP="00E86D7E">
      <w:pPr>
        <w:spacing w:before="240" w:after="0"/>
        <w:rPr>
          <w:i/>
        </w:rPr>
      </w:pPr>
      <w:r w:rsidRPr="0051406D">
        <w:t>Overall,</w:t>
      </w:r>
      <w:r w:rsidR="00B80A06" w:rsidRPr="0051406D">
        <w:t xml:space="preserve"> the Trust staff have a median gender pay gap of </w:t>
      </w:r>
      <w:r w:rsidR="00E86D7E">
        <w:t>4</w:t>
      </w:r>
      <w:r w:rsidR="00BA0547">
        <w:t>3.00</w:t>
      </w:r>
      <w:r w:rsidR="00E86D7E">
        <w:t>% (£</w:t>
      </w:r>
      <w:r w:rsidR="00BA0547">
        <w:t>10.36</w:t>
      </w:r>
      <w:r w:rsidR="00E86D7E">
        <w:t xml:space="preserve"> per hour, (202</w:t>
      </w:r>
      <w:r w:rsidR="00BA0547">
        <w:t>3</w:t>
      </w:r>
      <w:r w:rsidR="00E86D7E">
        <w:t xml:space="preserve">: </w:t>
      </w:r>
      <w:r w:rsidR="00E46E2F" w:rsidRPr="0051406D">
        <w:t>4</w:t>
      </w:r>
      <w:r w:rsidR="00BA0547">
        <w:t>1</w:t>
      </w:r>
      <w:r w:rsidR="002078D3">
        <w:t>.00</w:t>
      </w:r>
      <w:r w:rsidR="00B80A06" w:rsidRPr="0051406D">
        <w:t>% (£</w:t>
      </w:r>
      <w:r w:rsidR="00BA0547">
        <w:t>8.57</w:t>
      </w:r>
      <w:r w:rsidR="00E46E2F" w:rsidRPr="0051406D">
        <w:t xml:space="preserve"> </w:t>
      </w:r>
      <w:r w:rsidR="00B80A06" w:rsidRPr="0051406D">
        <w:t>per hour)</w:t>
      </w:r>
      <w:r w:rsidR="00E86D7E">
        <w:t>)</w:t>
      </w:r>
      <w:r w:rsidR="00B80A06" w:rsidRPr="0051406D">
        <w:t>. The reason for this can be explained</w:t>
      </w:r>
      <w:r w:rsidR="00A8054E" w:rsidRPr="0051406D">
        <w:t>, again, as m</w:t>
      </w:r>
      <w:r w:rsidR="00B80A06" w:rsidRPr="0051406D">
        <w:t xml:space="preserve">ale employees hold </w:t>
      </w:r>
      <w:r w:rsidR="00A8054E" w:rsidRPr="0051406D">
        <w:t xml:space="preserve">senior </w:t>
      </w:r>
      <w:r w:rsidR="00B80A06" w:rsidRPr="0051406D">
        <w:t xml:space="preserve">positions within </w:t>
      </w:r>
      <w:r w:rsidR="00B80A06" w:rsidRPr="0051406D">
        <w:lastRenderedPageBreak/>
        <w:t>the Trust (</w:t>
      </w:r>
      <w:r w:rsidR="00A8054E" w:rsidRPr="0051406D">
        <w:t>Academy Director</w:t>
      </w:r>
      <w:r w:rsidR="00B80A06" w:rsidRPr="0051406D">
        <w:t xml:space="preserve">, </w:t>
      </w:r>
      <w:r w:rsidR="00A8054E" w:rsidRPr="0051406D">
        <w:t>Headteacher/Principal, Acting Headteacher, Deputy Headteacher/Principal</w:t>
      </w:r>
      <w:r w:rsidR="00B80A06" w:rsidRPr="0051406D">
        <w:t xml:space="preserve">). </w:t>
      </w:r>
      <w:r w:rsidR="00A8054E" w:rsidRPr="0051406D">
        <w:t>Additionally,</w:t>
      </w:r>
      <w:r w:rsidR="00B80A06" w:rsidRPr="0051406D">
        <w:t xml:space="preserve"> as there are less</w:t>
      </w:r>
      <w:r w:rsidR="00B80A06" w:rsidRPr="00B80A06">
        <w:t xml:space="preserve"> men in positions </w:t>
      </w:r>
      <w:r w:rsidR="00A8054E">
        <w:t>across the Trust,</w:t>
      </w:r>
      <w:r w:rsidR="00B80A06" w:rsidRPr="00B80A06">
        <w:t xml:space="preserve"> the range for calculating their median value is a lot less than those of their female counterpart, therefore the median value for their gross hourly rate is higher. </w:t>
      </w:r>
    </w:p>
    <w:p w14:paraId="18CD5662" w14:textId="77777777" w:rsidR="002F53A7" w:rsidRDefault="002F53A7" w:rsidP="00A8054E">
      <w:pPr>
        <w:pStyle w:val="Heading1"/>
      </w:pPr>
      <w:bookmarkStart w:id="11" w:name="_Toc83970641"/>
    </w:p>
    <w:p w14:paraId="214250D2" w14:textId="4CCE1375" w:rsidR="00A8054E" w:rsidRDefault="00A8054E" w:rsidP="00A8054E">
      <w:pPr>
        <w:pStyle w:val="Heading1"/>
      </w:pPr>
      <w:r>
        <w:t>Mean Bonus Gender Pay Gap &amp; Median Bonus Gender Pay Gap</w:t>
      </w:r>
      <w:bookmarkEnd w:id="11"/>
    </w:p>
    <w:p w14:paraId="0BFFBEDD" w14:textId="77777777" w:rsidR="002C0936" w:rsidRDefault="002C0936" w:rsidP="00A8054E"/>
    <w:p w14:paraId="6C8AC1FB" w14:textId="65B5D6D6" w:rsidR="00A8054E" w:rsidRPr="00E46E2F" w:rsidRDefault="00A8054E" w:rsidP="00A8054E">
      <w:r w:rsidRPr="00E46E2F">
        <w:t>In contradiction to the mean and median gender pay gaps for hourly rates of full-pay relevant employees, only two bonus payments, in the form of recruitment and retention allowances, were in place during the relevant pay period. Both payments were received by female full-pay relevant employees in the form of an annual payment.</w:t>
      </w:r>
    </w:p>
    <w:p w14:paraId="7BD2886F" w14:textId="198DAA81" w:rsidR="00A8054E" w:rsidRPr="00E46E2F" w:rsidRDefault="00A8054E" w:rsidP="00A8054E">
      <w:r w:rsidRPr="00E46E2F">
        <w:t>The mean and median bonus gender pay gap is</w:t>
      </w:r>
      <w:r w:rsidR="00E86D7E">
        <w:t xml:space="preserve"> £</w:t>
      </w:r>
      <w:r w:rsidR="00BA0547">
        <w:t>nil</w:t>
      </w:r>
      <w:r w:rsidR="00E86D7E">
        <w:t xml:space="preserve"> per annum (202</w:t>
      </w:r>
      <w:r w:rsidR="00BA0547">
        <w:t>3</w:t>
      </w:r>
      <w:r w:rsidR="00E86D7E" w:rsidRPr="00E86D7E">
        <w:t>:</w:t>
      </w:r>
      <w:r w:rsidRPr="00E86D7E">
        <w:t xml:space="preserve"> £</w:t>
      </w:r>
      <w:r w:rsidR="00BA0547">
        <w:t>5,362.93</w:t>
      </w:r>
      <w:r w:rsidR="00E86D7E" w:rsidRPr="00E86D7E">
        <w:t>)</w:t>
      </w:r>
      <w:r w:rsidRPr="00E86D7E">
        <w:t>.</w:t>
      </w:r>
    </w:p>
    <w:p w14:paraId="745E2E7A" w14:textId="17113473" w:rsidR="00A8054E" w:rsidRDefault="00A8054E" w:rsidP="00A8054E">
      <w:r w:rsidRPr="00E46E2F">
        <w:t xml:space="preserve">These bonus payments were in place for these roles to incentivise Teachers of the core subject (English, Maths and Science), in the </w:t>
      </w:r>
      <w:r w:rsidR="008F64D5" w:rsidRPr="00E46E2F">
        <w:t xml:space="preserve">Kirklees Authority. As the most suitable candidates, </w:t>
      </w:r>
      <w:r w:rsidR="00BA0547">
        <w:t xml:space="preserve">in 2023 </w:t>
      </w:r>
      <w:r w:rsidR="008F64D5" w:rsidRPr="00E46E2F">
        <w:t>t</w:t>
      </w:r>
      <w:r w:rsidR="00F0223A">
        <w:t>hree</w:t>
      </w:r>
      <w:r w:rsidR="008F64D5" w:rsidRPr="00E46E2F">
        <w:t xml:space="preserve"> female employees were successful in the application for these roles and their corresponding bonus.</w:t>
      </w:r>
      <w:r w:rsidR="008F64D5">
        <w:t xml:space="preserve"> </w:t>
      </w:r>
    </w:p>
    <w:p w14:paraId="545ABDD4" w14:textId="7E08FD57" w:rsidR="00A8054E" w:rsidRPr="00A8054E" w:rsidRDefault="00A8054E" w:rsidP="00A8054E">
      <w:pPr>
        <w:pStyle w:val="Heading1"/>
      </w:pPr>
      <w:bookmarkStart w:id="12" w:name="_Toc83970642"/>
      <w:r w:rsidRPr="00A8054E">
        <w:t>The portion of males and females receiving bonus payments</w:t>
      </w:r>
      <w:bookmarkEnd w:id="12"/>
    </w:p>
    <w:p w14:paraId="2F583353" w14:textId="77777777" w:rsidR="002C0936" w:rsidRDefault="002C0936" w:rsidP="00B80A06">
      <w:pPr>
        <w:spacing w:after="0"/>
        <w:rPr>
          <w:iCs/>
        </w:rPr>
      </w:pPr>
    </w:p>
    <w:p w14:paraId="33A58749" w14:textId="045C78A4" w:rsidR="00FB6F77" w:rsidRPr="008F64D5" w:rsidRDefault="00BA0547" w:rsidP="00B80A06">
      <w:pPr>
        <w:spacing w:after="0"/>
        <w:rPr>
          <w:iCs/>
        </w:rPr>
      </w:pPr>
      <w:r>
        <w:rPr>
          <w:iCs/>
        </w:rPr>
        <w:t>There have been no bonus payments to males or females during this reporting period.</w:t>
      </w:r>
    </w:p>
    <w:p w14:paraId="6054C149" w14:textId="77777777" w:rsidR="00E95034" w:rsidRDefault="00E95034" w:rsidP="00B80A06">
      <w:pPr>
        <w:pStyle w:val="Heading1"/>
      </w:pPr>
      <w:bookmarkStart w:id="13" w:name="_Toc69989920"/>
      <w:bookmarkStart w:id="14" w:name="_Toc83970643"/>
    </w:p>
    <w:p w14:paraId="539F4396" w14:textId="75553164" w:rsidR="00B80A06" w:rsidRPr="00B80A06" w:rsidRDefault="00B80A06" w:rsidP="00B80A06">
      <w:pPr>
        <w:pStyle w:val="Heading1"/>
      </w:pPr>
      <w:r w:rsidRPr="00B80A06">
        <w:t>Quartile pay bands - male and female proportion</w:t>
      </w:r>
      <w:bookmarkEnd w:id="13"/>
      <w:bookmarkEnd w:id="14"/>
      <w:r w:rsidRPr="00B80A06">
        <w:t xml:space="preserve"> </w:t>
      </w:r>
    </w:p>
    <w:p w14:paraId="1FF0C2B6" w14:textId="77777777" w:rsidR="00B80A06" w:rsidRPr="00B80A06" w:rsidRDefault="00B80A06" w:rsidP="00B80A06">
      <w:pPr>
        <w:spacing w:after="0"/>
      </w:pPr>
    </w:p>
    <w:p w14:paraId="33CBBB99" w14:textId="77777777" w:rsidR="00B80A06" w:rsidRPr="00B80A06" w:rsidRDefault="00B80A06" w:rsidP="00B80A06">
      <w:pPr>
        <w:spacing w:after="0"/>
      </w:pPr>
      <w:r w:rsidRPr="00B80A06">
        <w:t>The quartile pay bands are calculated by arranging all the data in size order, then separating the data into four equal groups (upper quartile, upper middle quartile, lower middle quartile and lower quartile), creating the quartiles of pay within the establishment. The quartile pay bands are calculated on gross hourly rate, an employee’s part-time/full-time or term time only/all year status does not apply to this calculation.</w:t>
      </w:r>
    </w:p>
    <w:p w14:paraId="29E8BD2B" w14:textId="77777777" w:rsidR="00B80A06" w:rsidRPr="00B80A06" w:rsidRDefault="00B80A06" w:rsidP="00B80A06">
      <w:pPr>
        <w:spacing w:after="0"/>
      </w:pPr>
    </w:p>
    <w:tbl>
      <w:tblPr>
        <w:tblW w:w="5000" w:type="pct"/>
        <w:tblLook w:val="04A0" w:firstRow="1" w:lastRow="0" w:firstColumn="1" w:lastColumn="0" w:noHBand="0" w:noVBand="1"/>
      </w:tblPr>
      <w:tblGrid>
        <w:gridCol w:w="3400"/>
        <w:gridCol w:w="1461"/>
        <w:gridCol w:w="1461"/>
        <w:gridCol w:w="1583"/>
        <w:gridCol w:w="1583"/>
      </w:tblGrid>
      <w:tr w:rsidR="00FB6F77" w:rsidRPr="00FB6F77" w14:paraId="149B2942" w14:textId="77777777" w:rsidTr="00FB6F77">
        <w:trPr>
          <w:trHeight w:val="300"/>
        </w:trPr>
        <w:tc>
          <w:tcPr>
            <w:tcW w:w="1792"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30EB041" w14:textId="77777777" w:rsidR="00FB6F77" w:rsidRPr="00FB6F77" w:rsidRDefault="00FB6F77" w:rsidP="00FB6F77">
            <w:pPr>
              <w:spacing w:after="0"/>
              <w:rPr>
                <w:rFonts w:cstheme="minorHAnsi"/>
              </w:rPr>
            </w:pPr>
            <w:r w:rsidRPr="00FB6F77">
              <w:rPr>
                <w:rFonts w:cstheme="minorHAnsi"/>
              </w:rPr>
              <w:t> </w:t>
            </w:r>
          </w:p>
        </w:tc>
        <w:tc>
          <w:tcPr>
            <w:tcW w:w="1540" w:type="pct"/>
            <w:gridSpan w:val="2"/>
            <w:tcBorders>
              <w:top w:val="single" w:sz="4" w:space="0" w:color="auto"/>
              <w:left w:val="nil"/>
              <w:bottom w:val="single" w:sz="4" w:space="0" w:color="auto"/>
              <w:right w:val="single" w:sz="4" w:space="0" w:color="auto"/>
            </w:tcBorders>
            <w:shd w:val="clear" w:color="auto" w:fill="92D050"/>
            <w:noWrap/>
            <w:vAlign w:val="center"/>
            <w:hideMark/>
          </w:tcPr>
          <w:p w14:paraId="358C782B" w14:textId="77777777" w:rsidR="00FB6F77" w:rsidRPr="00FB6F77" w:rsidRDefault="00FB6F77" w:rsidP="00FB6F77">
            <w:pPr>
              <w:spacing w:after="0"/>
              <w:jc w:val="center"/>
              <w:rPr>
                <w:rFonts w:cstheme="minorHAnsi"/>
              </w:rPr>
            </w:pPr>
            <w:r w:rsidRPr="00FB6F77">
              <w:rPr>
                <w:rFonts w:cstheme="minorHAnsi"/>
              </w:rPr>
              <w:t>Male</w:t>
            </w:r>
          </w:p>
        </w:tc>
        <w:tc>
          <w:tcPr>
            <w:tcW w:w="1668" w:type="pct"/>
            <w:gridSpan w:val="2"/>
            <w:tcBorders>
              <w:top w:val="single" w:sz="4" w:space="0" w:color="auto"/>
              <w:left w:val="nil"/>
              <w:bottom w:val="single" w:sz="4" w:space="0" w:color="auto"/>
              <w:right w:val="single" w:sz="4" w:space="0" w:color="auto"/>
            </w:tcBorders>
            <w:shd w:val="clear" w:color="auto" w:fill="92D050"/>
            <w:noWrap/>
            <w:vAlign w:val="center"/>
            <w:hideMark/>
          </w:tcPr>
          <w:p w14:paraId="68EAD931" w14:textId="77777777" w:rsidR="00FB6F77" w:rsidRPr="00FB6F77" w:rsidRDefault="00FB6F77" w:rsidP="00FB6F77">
            <w:pPr>
              <w:spacing w:after="0"/>
              <w:jc w:val="center"/>
              <w:rPr>
                <w:rFonts w:cstheme="minorHAnsi"/>
              </w:rPr>
            </w:pPr>
            <w:r w:rsidRPr="00FB6F77">
              <w:rPr>
                <w:rFonts w:cstheme="minorHAnsi"/>
              </w:rPr>
              <w:t>Female</w:t>
            </w:r>
          </w:p>
        </w:tc>
      </w:tr>
      <w:tr w:rsidR="00FB6F77" w:rsidRPr="00FB6F77" w14:paraId="6705957D" w14:textId="77777777" w:rsidTr="00FB6F77">
        <w:trPr>
          <w:trHeight w:val="300"/>
        </w:trPr>
        <w:tc>
          <w:tcPr>
            <w:tcW w:w="1792" w:type="pct"/>
            <w:tcBorders>
              <w:top w:val="nil"/>
              <w:left w:val="single" w:sz="4" w:space="0" w:color="auto"/>
              <w:bottom w:val="single" w:sz="4" w:space="0" w:color="auto"/>
              <w:right w:val="single" w:sz="4" w:space="0" w:color="auto"/>
            </w:tcBorders>
            <w:shd w:val="clear" w:color="auto" w:fill="auto"/>
            <w:noWrap/>
            <w:vAlign w:val="center"/>
            <w:hideMark/>
          </w:tcPr>
          <w:p w14:paraId="1F8A9781" w14:textId="1D948128" w:rsidR="00FB6F77" w:rsidRPr="00FB6F77" w:rsidRDefault="00FB6F77" w:rsidP="00FB6F77">
            <w:pPr>
              <w:spacing w:after="0"/>
              <w:rPr>
                <w:rFonts w:cstheme="minorHAnsi"/>
              </w:rPr>
            </w:pPr>
            <w:r w:rsidRPr="00FB6F77">
              <w:rPr>
                <w:rFonts w:cstheme="minorHAnsi"/>
              </w:rPr>
              <w:t>Lower</w:t>
            </w:r>
            <w:r>
              <w:rPr>
                <w:rFonts w:cstheme="minorHAnsi"/>
              </w:rPr>
              <w:t xml:space="preserve"> Quartile</w:t>
            </w:r>
          </w:p>
        </w:tc>
        <w:tc>
          <w:tcPr>
            <w:tcW w:w="770" w:type="pct"/>
            <w:tcBorders>
              <w:top w:val="nil"/>
              <w:left w:val="nil"/>
              <w:bottom w:val="single" w:sz="4" w:space="0" w:color="auto"/>
              <w:right w:val="single" w:sz="4" w:space="0" w:color="auto"/>
            </w:tcBorders>
            <w:shd w:val="clear" w:color="auto" w:fill="auto"/>
            <w:noWrap/>
            <w:vAlign w:val="center"/>
            <w:hideMark/>
          </w:tcPr>
          <w:p w14:paraId="22E2F121" w14:textId="17FDB918" w:rsidR="00FB6F77" w:rsidRPr="00FB6F77" w:rsidRDefault="00C236DB" w:rsidP="00FB6F77">
            <w:pPr>
              <w:spacing w:after="0"/>
              <w:jc w:val="center"/>
              <w:rPr>
                <w:rFonts w:cstheme="minorHAnsi"/>
              </w:rPr>
            </w:pPr>
            <w:r>
              <w:rPr>
                <w:rFonts w:cstheme="minorHAnsi"/>
              </w:rPr>
              <w:t>2</w:t>
            </w:r>
          </w:p>
        </w:tc>
        <w:tc>
          <w:tcPr>
            <w:tcW w:w="770" w:type="pct"/>
            <w:tcBorders>
              <w:top w:val="nil"/>
              <w:left w:val="nil"/>
              <w:bottom w:val="single" w:sz="4" w:space="0" w:color="auto"/>
              <w:right w:val="single" w:sz="4" w:space="0" w:color="auto"/>
            </w:tcBorders>
            <w:shd w:val="clear" w:color="auto" w:fill="auto"/>
            <w:noWrap/>
            <w:vAlign w:val="center"/>
            <w:hideMark/>
          </w:tcPr>
          <w:p w14:paraId="77493A7A" w14:textId="7E54C5E0" w:rsidR="00FB6F77" w:rsidRPr="00FB6F77" w:rsidRDefault="00C236DB" w:rsidP="00FB6F77">
            <w:pPr>
              <w:spacing w:after="0"/>
              <w:jc w:val="center"/>
              <w:rPr>
                <w:rFonts w:cstheme="minorHAnsi"/>
              </w:rPr>
            </w:pPr>
            <w:r>
              <w:rPr>
                <w:rFonts w:cstheme="minorHAnsi"/>
              </w:rPr>
              <w:t>1.49</w:t>
            </w:r>
            <w:r w:rsidR="00FB6F77" w:rsidRPr="00FB6F77">
              <w:rPr>
                <w:rFonts w:cstheme="minorHAnsi"/>
              </w:rPr>
              <w:t>%</w:t>
            </w:r>
          </w:p>
        </w:tc>
        <w:tc>
          <w:tcPr>
            <w:tcW w:w="834" w:type="pct"/>
            <w:tcBorders>
              <w:top w:val="nil"/>
              <w:left w:val="nil"/>
              <w:bottom w:val="single" w:sz="4" w:space="0" w:color="auto"/>
              <w:right w:val="single" w:sz="4" w:space="0" w:color="auto"/>
            </w:tcBorders>
            <w:shd w:val="clear" w:color="auto" w:fill="auto"/>
            <w:noWrap/>
            <w:vAlign w:val="center"/>
            <w:hideMark/>
          </w:tcPr>
          <w:p w14:paraId="4F556310" w14:textId="7568E53C" w:rsidR="00FB6F77" w:rsidRPr="00FB6F77" w:rsidRDefault="00C236DB" w:rsidP="00FB6F77">
            <w:pPr>
              <w:spacing w:after="0"/>
              <w:jc w:val="center"/>
              <w:rPr>
                <w:rFonts w:cstheme="minorHAnsi"/>
              </w:rPr>
            </w:pPr>
            <w:r>
              <w:rPr>
                <w:rFonts w:cstheme="minorHAnsi"/>
              </w:rPr>
              <w:t>132</w:t>
            </w:r>
          </w:p>
        </w:tc>
        <w:tc>
          <w:tcPr>
            <w:tcW w:w="834" w:type="pct"/>
            <w:tcBorders>
              <w:top w:val="nil"/>
              <w:left w:val="nil"/>
              <w:bottom w:val="single" w:sz="4" w:space="0" w:color="auto"/>
              <w:right w:val="single" w:sz="4" w:space="0" w:color="auto"/>
            </w:tcBorders>
            <w:shd w:val="clear" w:color="auto" w:fill="auto"/>
            <w:noWrap/>
            <w:vAlign w:val="center"/>
            <w:hideMark/>
          </w:tcPr>
          <w:p w14:paraId="19C649B0" w14:textId="34754079" w:rsidR="00FB6F77" w:rsidRPr="00FB6F77" w:rsidRDefault="00FA6691" w:rsidP="00FB6F77">
            <w:pPr>
              <w:spacing w:after="0"/>
              <w:jc w:val="center"/>
              <w:rPr>
                <w:rFonts w:cstheme="minorHAnsi"/>
              </w:rPr>
            </w:pPr>
            <w:r>
              <w:rPr>
                <w:rFonts w:cstheme="minorHAnsi"/>
              </w:rPr>
              <w:t>9</w:t>
            </w:r>
            <w:r w:rsidR="00C236DB">
              <w:rPr>
                <w:rFonts w:cstheme="minorHAnsi"/>
              </w:rPr>
              <w:t>8.51</w:t>
            </w:r>
            <w:r w:rsidR="00FB6F77" w:rsidRPr="00FB6F77">
              <w:rPr>
                <w:rFonts w:cstheme="minorHAnsi"/>
              </w:rPr>
              <w:t>%</w:t>
            </w:r>
          </w:p>
        </w:tc>
      </w:tr>
      <w:tr w:rsidR="00FB6F77" w:rsidRPr="00FB6F77" w14:paraId="2E1DC493" w14:textId="77777777" w:rsidTr="00FB6F77">
        <w:trPr>
          <w:trHeight w:val="300"/>
        </w:trPr>
        <w:tc>
          <w:tcPr>
            <w:tcW w:w="1792" w:type="pct"/>
            <w:tcBorders>
              <w:top w:val="nil"/>
              <w:left w:val="single" w:sz="4" w:space="0" w:color="auto"/>
              <w:bottom w:val="single" w:sz="4" w:space="0" w:color="auto"/>
              <w:right w:val="single" w:sz="4" w:space="0" w:color="auto"/>
            </w:tcBorders>
            <w:shd w:val="clear" w:color="auto" w:fill="auto"/>
            <w:noWrap/>
            <w:vAlign w:val="center"/>
            <w:hideMark/>
          </w:tcPr>
          <w:p w14:paraId="5C44D139" w14:textId="0BAB5EB8" w:rsidR="00FB6F77" w:rsidRPr="00FB6F77" w:rsidRDefault="00FB6F77" w:rsidP="00FB6F77">
            <w:pPr>
              <w:spacing w:after="0"/>
              <w:rPr>
                <w:rFonts w:cstheme="minorHAnsi"/>
              </w:rPr>
            </w:pPr>
            <w:r w:rsidRPr="00FB6F77">
              <w:rPr>
                <w:rFonts w:cstheme="minorHAnsi"/>
              </w:rPr>
              <w:t>Middle Lower</w:t>
            </w:r>
            <w:r>
              <w:rPr>
                <w:rFonts w:cstheme="minorHAnsi"/>
              </w:rPr>
              <w:t xml:space="preserve"> Quartile</w:t>
            </w:r>
          </w:p>
        </w:tc>
        <w:tc>
          <w:tcPr>
            <w:tcW w:w="770" w:type="pct"/>
            <w:tcBorders>
              <w:top w:val="nil"/>
              <w:left w:val="nil"/>
              <w:bottom w:val="single" w:sz="4" w:space="0" w:color="auto"/>
              <w:right w:val="single" w:sz="4" w:space="0" w:color="auto"/>
            </w:tcBorders>
            <w:shd w:val="clear" w:color="auto" w:fill="auto"/>
            <w:noWrap/>
            <w:vAlign w:val="center"/>
            <w:hideMark/>
          </w:tcPr>
          <w:p w14:paraId="571B585D" w14:textId="09E52EE9" w:rsidR="00FB6F77" w:rsidRPr="00FB6F77" w:rsidRDefault="00C236DB" w:rsidP="00FB6F77">
            <w:pPr>
              <w:spacing w:after="0"/>
              <w:jc w:val="center"/>
              <w:rPr>
                <w:rFonts w:cstheme="minorHAnsi"/>
              </w:rPr>
            </w:pPr>
            <w:r>
              <w:rPr>
                <w:rFonts w:cstheme="minorHAnsi"/>
              </w:rPr>
              <w:t>2</w:t>
            </w:r>
          </w:p>
        </w:tc>
        <w:tc>
          <w:tcPr>
            <w:tcW w:w="770" w:type="pct"/>
            <w:tcBorders>
              <w:top w:val="nil"/>
              <w:left w:val="nil"/>
              <w:bottom w:val="single" w:sz="4" w:space="0" w:color="auto"/>
              <w:right w:val="single" w:sz="4" w:space="0" w:color="auto"/>
            </w:tcBorders>
            <w:shd w:val="clear" w:color="auto" w:fill="auto"/>
            <w:noWrap/>
            <w:vAlign w:val="center"/>
            <w:hideMark/>
          </w:tcPr>
          <w:p w14:paraId="4F19CDC3" w14:textId="3A30074C" w:rsidR="00FB6F77" w:rsidRPr="00FB6F77" w:rsidRDefault="00C236DB" w:rsidP="00FB6F77">
            <w:pPr>
              <w:spacing w:after="0"/>
              <w:jc w:val="center"/>
              <w:rPr>
                <w:rFonts w:cstheme="minorHAnsi"/>
              </w:rPr>
            </w:pPr>
            <w:r>
              <w:rPr>
                <w:rFonts w:cstheme="minorHAnsi"/>
              </w:rPr>
              <w:t>1.49</w:t>
            </w:r>
            <w:r w:rsidR="00FB6F77" w:rsidRPr="00FB6F77">
              <w:rPr>
                <w:rFonts w:cstheme="minorHAnsi"/>
              </w:rPr>
              <w:t>%</w:t>
            </w:r>
          </w:p>
        </w:tc>
        <w:tc>
          <w:tcPr>
            <w:tcW w:w="834" w:type="pct"/>
            <w:tcBorders>
              <w:top w:val="nil"/>
              <w:left w:val="nil"/>
              <w:bottom w:val="single" w:sz="4" w:space="0" w:color="auto"/>
              <w:right w:val="single" w:sz="4" w:space="0" w:color="auto"/>
            </w:tcBorders>
            <w:shd w:val="clear" w:color="auto" w:fill="auto"/>
            <w:noWrap/>
            <w:vAlign w:val="center"/>
            <w:hideMark/>
          </w:tcPr>
          <w:p w14:paraId="2BF793D9" w14:textId="7697A6AE" w:rsidR="00FB6F77" w:rsidRPr="00FB6F77" w:rsidRDefault="00C236DB" w:rsidP="00FB6F77">
            <w:pPr>
              <w:spacing w:after="0"/>
              <w:jc w:val="center"/>
              <w:rPr>
                <w:rFonts w:cstheme="minorHAnsi"/>
              </w:rPr>
            </w:pPr>
            <w:r>
              <w:rPr>
                <w:rFonts w:cstheme="minorHAnsi"/>
              </w:rPr>
              <w:t>132</w:t>
            </w:r>
          </w:p>
        </w:tc>
        <w:tc>
          <w:tcPr>
            <w:tcW w:w="834" w:type="pct"/>
            <w:tcBorders>
              <w:top w:val="nil"/>
              <w:left w:val="nil"/>
              <w:bottom w:val="single" w:sz="4" w:space="0" w:color="auto"/>
              <w:right w:val="single" w:sz="4" w:space="0" w:color="auto"/>
            </w:tcBorders>
            <w:shd w:val="clear" w:color="auto" w:fill="auto"/>
            <w:noWrap/>
            <w:vAlign w:val="center"/>
            <w:hideMark/>
          </w:tcPr>
          <w:p w14:paraId="53EFB5C9" w14:textId="7F9EF786" w:rsidR="00FB6F77" w:rsidRPr="00FB6F77" w:rsidRDefault="00FB6F77" w:rsidP="00FB6F77">
            <w:pPr>
              <w:spacing w:after="0"/>
              <w:jc w:val="center"/>
              <w:rPr>
                <w:rFonts w:cstheme="minorHAnsi"/>
              </w:rPr>
            </w:pPr>
            <w:r w:rsidRPr="00FB6F77">
              <w:rPr>
                <w:rFonts w:cstheme="minorHAnsi"/>
              </w:rPr>
              <w:t>9</w:t>
            </w:r>
            <w:r w:rsidR="00C236DB">
              <w:rPr>
                <w:rFonts w:cstheme="minorHAnsi"/>
              </w:rPr>
              <w:t>8.51</w:t>
            </w:r>
            <w:r w:rsidRPr="00FB6F77">
              <w:rPr>
                <w:rFonts w:cstheme="minorHAnsi"/>
              </w:rPr>
              <w:t>%</w:t>
            </w:r>
          </w:p>
        </w:tc>
      </w:tr>
      <w:tr w:rsidR="00FB6F77" w:rsidRPr="00FB6F77" w14:paraId="73A044D1" w14:textId="77777777" w:rsidTr="00FB6F77">
        <w:trPr>
          <w:trHeight w:val="300"/>
        </w:trPr>
        <w:tc>
          <w:tcPr>
            <w:tcW w:w="1792" w:type="pct"/>
            <w:tcBorders>
              <w:top w:val="nil"/>
              <w:left w:val="single" w:sz="4" w:space="0" w:color="auto"/>
              <w:bottom w:val="single" w:sz="4" w:space="0" w:color="auto"/>
              <w:right w:val="single" w:sz="4" w:space="0" w:color="auto"/>
            </w:tcBorders>
            <w:shd w:val="clear" w:color="auto" w:fill="auto"/>
            <w:noWrap/>
            <w:vAlign w:val="center"/>
            <w:hideMark/>
          </w:tcPr>
          <w:p w14:paraId="470B0C1A" w14:textId="73D24648" w:rsidR="00FB6F77" w:rsidRPr="00FB6F77" w:rsidRDefault="00FB6F77" w:rsidP="00FB6F77">
            <w:pPr>
              <w:spacing w:after="0"/>
              <w:rPr>
                <w:rFonts w:cstheme="minorHAnsi"/>
              </w:rPr>
            </w:pPr>
            <w:r w:rsidRPr="00FB6F77">
              <w:rPr>
                <w:rFonts w:cstheme="minorHAnsi"/>
              </w:rPr>
              <w:t>Middle Upper</w:t>
            </w:r>
            <w:r>
              <w:rPr>
                <w:rFonts w:cstheme="minorHAnsi"/>
              </w:rPr>
              <w:t xml:space="preserve"> Quartile</w:t>
            </w:r>
          </w:p>
        </w:tc>
        <w:tc>
          <w:tcPr>
            <w:tcW w:w="770" w:type="pct"/>
            <w:tcBorders>
              <w:top w:val="nil"/>
              <w:left w:val="nil"/>
              <w:bottom w:val="single" w:sz="4" w:space="0" w:color="auto"/>
              <w:right w:val="single" w:sz="4" w:space="0" w:color="auto"/>
            </w:tcBorders>
            <w:shd w:val="clear" w:color="auto" w:fill="auto"/>
            <w:noWrap/>
            <w:vAlign w:val="center"/>
            <w:hideMark/>
          </w:tcPr>
          <w:p w14:paraId="0DDC0CFA" w14:textId="1044EBA1" w:rsidR="00FB6F77" w:rsidRPr="00FB6F77" w:rsidRDefault="00C236DB" w:rsidP="00FB6F77">
            <w:pPr>
              <w:spacing w:after="0"/>
              <w:jc w:val="center"/>
              <w:rPr>
                <w:rFonts w:cstheme="minorHAnsi"/>
              </w:rPr>
            </w:pPr>
            <w:r>
              <w:rPr>
                <w:rFonts w:cstheme="minorHAnsi"/>
              </w:rPr>
              <w:t>24</w:t>
            </w:r>
          </w:p>
        </w:tc>
        <w:tc>
          <w:tcPr>
            <w:tcW w:w="770" w:type="pct"/>
            <w:tcBorders>
              <w:top w:val="nil"/>
              <w:left w:val="nil"/>
              <w:bottom w:val="single" w:sz="4" w:space="0" w:color="auto"/>
              <w:right w:val="single" w:sz="4" w:space="0" w:color="auto"/>
            </w:tcBorders>
            <w:shd w:val="clear" w:color="auto" w:fill="auto"/>
            <w:noWrap/>
            <w:vAlign w:val="center"/>
            <w:hideMark/>
          </w:tcPr>
          <w:p w14:paraId="4DEA89E4" w14:textId="65209E79" w:rsidR="00FB6F77" w:rsidRPr="00FB6F77" w:rsidRDefault="00FA6691" w:rsidP="00FB6F77">
            <w:pPr>
              <w:spacing w:after="0"/>
              <w:jc w:val="center"/>
              <w:rPr>
                <w:rFonts w:cstheme="minorHAnsi"/>
              </w:rPr>
            </w:pPr>
            <w:r>
              <w:rPr>
                <w:rFonts w:cstheme="minorHAnsi"/>
              </w:rPr>
              <w:t>1</w:t>
            </w:r>
            <w:r w:rsidR="00C236DB">
              <w:rPr>
                <w:rFonts w:cstheme="minorHAnsi"/>
              </w:rPr>
              <w:t>7.91</w:t>
            </w:r>
            <w:r w:rsidR="00FB6F77" w:rsidRPr="00FB6F77">
              <w:rPr>
                <w:rFonts w:cstheme="minorHAnsi"/>
              </w:rPr>
              <w:t>%</w:t>
            </w:r>
          </w:p>
        </w:tc>
        <w:tc>
          <w:tcPr>
            <w:tcW w:w="834" w:type="pct"/>
            <w:tcBorders>
              <w:top w:val="nil"/>
              <w:left w:val="nil"/>
              <w:bottom w:val="single" w:sz="4" w:space="0" w:color="auto"/>
              <w:right w:val="single" w:sz="4" w:space="0" w:color="auto"/>
            </w:tcBorders>
            <w:shd w:val="clear" w:color="auto" w:fill="auto"/>
            <w:noWrap/>
            <w:vAlign w:val="center"/>
            <w:hideMark/>
          </w:tcPr>
          <w:p w14:paraId="39B8DD13" w14:textId="14A7804E" w:rsidR="00FB6F77" w:rsidRPr="00FB6F77" w:rsidRDefault="00C236DB" w:rsidP="00FB6F77">
            <w:pPr>
              <w:spacing w:after="0"/>
              <w:jc w:val="center"/>
              <w:rPr>
                <w:rFonts w:cstheme="minorHAnsi"/>
              </w:rPr>
            </w:pPr>
            <w:r>
              <w:rPr>
                <w:rFonts w:cstheme="minorHAnsi"/>
              </w:rPr>
              <w:t>110</w:t>
            </w:r>
          </w:p>
        </w:tc>
        <w:tc>
          <w:tcPr>
            <w:tcW w:w="834" w:type="pct"/>
            <w:tcBorders>
              <w:top w:val="nil"/>
              <w:left w:val="nil"/>
              <w:bottom w:val="single" w:sz="4" w:space="0" w:color="auto"/>
              <w:right w:val="single" w:sz="4" w:space="0" w:color="auto"/>
            </w:tcBorders>
            <w:shd w:val="clear" w:color="auto" w:fill="auto"/>
            <w:noWrap/>
            <w:vAlign w:val="center"/>
            <w:hideMark/>
          </w:tcPr>
          <w:p w14:paraId="0405F54D" w14:textId="69EA06A1" w:rsidR="00FB6F77" w:rsidRPr="00FB6F77" w:rsidRDefault="00FA6691" w:rsidP="00FB6F77">
            <w:pPr>
              <w:spacing w:after="0"/>
              <w:jc w:val="center"/>
              <w:rPr>
                <w:rFonts w:cstheme="minorHAnsi"/>
              </w:rPr>
            </w:pPr>
            <w:r>
              <w:rPr>
                <w:rFonts w:cstheme="minorHAnsi"/>
              </w:rPr>
              <w:t>8</w:t>
            </w:r>
            <w:r w:rsidR="00C236DB">
              <w:rPr>
                <w:rFonts w:cstheme="minorHAnsi"/>
              </w:rPr>
              <w:t>2.09</w:t>
            </w:r>
            <w:r w:rsidR="00FB6F77" w:rsidRPr="00FB6F77">
              <w:rPr>
                <w:rFonts w:cstheme="minorHAnsi"/>
              </w:rPr>
              <w:t>%</w:t>
            </w:r>
          </w:p>
        </w:tc>
      </w:tr>
      <w:tr w:rsidR="00FB6F77" w:rsidRPr="00FB6F77" w14:paraId="237A35FA" w14:textId="77777777" w:rsidTr="00FB6F77">
        <w:trPr>
          <w:trHeight w:val="300"/>
        </w:trPr>
        <w:tc>
          <w:tcPr>
            <w:tcW w:w="1792" w:type="pct"/>
            <w:tcBorders>
              <w:top w:val="nil"/>
              <w:left w:val="single" w:sz="4" w:space="0" w:color="auto"/>
              <w:bottom w:val="single" w:sz="4" w:space="0" w:color="auto"/>
              <w:right w:val="single" w:sz="4" w:space="0" w:color="auto"/>
            </w:tcBorders>
            <w:shd w:val="clear" w:color="auto" w:fill="auto"/>
            <w:noWrap/>
            <w:vAlign w:val="center"/>
            <w:hideMark/>
          </w:tcPr>
          <w:p w14:paraId="667CE874" w14:textId="75C15790" w:rsidR="00FB6F77" w:rsidRPr="00FB6F77" w:rsidRDefault="00FB6F77" w:rsidP="00FB6F77">
            <w:pPr>
              <w:spacing w:after="0"/>
              <w:rPr>
                <w:rFonts w:cstheme="minorHAnsi"/>
              </w:rPr>
            </w:pPr>
            <w:r w:rsidRPr="00FB6F77">
              <w:rPr>
                <w:rFonts w:cstheme="minorHAnsi"/>
              </w:rPr>
              <w:t>Upper</w:t>
            </w:r>
            <w:r>
              <w:rPr>
                <w:rFonts w:cstheme="minorHAnsi"/>
              </w:rPr>
              <w:t xml:space="preserve"> Quartile </w:t>
            </w:r>
          </w:p>
        </w:tc>
        <w:tc>
          <w:tcPr>
            <w:tcW w:w="770" w:type="pct"/>
            <w:tcBorders>
              <w:top w:val="nil"/>
              <w:left w:val="nil"/>
              <w:bottom w:val="single" w:sz="4" w:space="0" w:color="auto"/>
              <w:right w:val="single" w:sz="4" w:space="0" w:color="auto"/>
            </w:tcBorders>
            <w:shd w:val="clear" w:color="auto" w:fill="auto"/>
            <w:noWrap/>
            <w:vAlign w:val="center"/>
            <w:hideMark/>
          </w:tcPr>
          <w:p w14:paraId="60EEA4F2" w14:textId="390E70D2" w:rsidR="00FB6F77" w:rsidRPr="00FB6F77" w:rsidRDefault="00C236DB" w:rsidP="00FB6F77">
            <w:pPr>
              <w:spacing w:after="0"/>
              <w:jc w:val="center"/>
              <w:rPr>
                <w:rFonts w:cstheme="minorHAnsi"/>
              </w:rPr>
            </w:pPr>
            <w:r>
              <w:rPr>
                <w:rFonts w:cstheme="minorHAnsi"/>
              </w:rPr>
              <w:t>28</w:t>
            </w:r>
          </w:p>
        </w:tc>
        <w:tc>
          <w:tcPr>
            <w:tcW w:w="770" w:type="pct"/>
            <w:tcBorders>
              <w:top w:val="nil"/>
              <w:left w:val="nil"/>
              <w:bottom w:val="single" w:sz="4" w:space="0" w:color="auto"/>
              <w:right w:val="single" w:sz="4" w:space="0" w:color="auto"/>
            </w:tcBorders>
            <w:shd w:val="clear" w:color="auto" w:fill="auto"/>
            <w:noWrap/>
            <w:vAlign w:val="center"/>
            <w:hideMark/>
          </w:tcPr>
          <w:p w14:paraId="3E3ACCF4" w14:textId="3A8D9283" w:rsidR="00FB6F77" w:rsidRPr="00FB6F77" w:rsidRDefault="00C236DB" w:rsidP="00FB6F77">
            <w:pPr>
              <w:spacing w:after="0"/>
              <w:jc w:val="center"/>
              <w:rPr>
                <w:rFonts w:cstheme="minorHAnsi"/>
              </w:rPr>
            </w:pPr>
            <w:r>
              <w:rPr>
                <w:rFonts w:cstheme="minorHAnsi"/>
              </w:rPr>
              <w:t>21.05</w:t>
            </w:r>
            <w:r w:rsidR="00FB6F77" w:rsidRPr="00FB6F77">
              <w:rPr>
                <w:rFonts w:cstheme="minorHAnsi"/>
              </w:rPr>
              <w:t>%</w:t>
            </w:r>
          </w:p>
        </w:tc>
        <w:tc>
          <w:tcPr>
            <w:tcW w:w="834" w:type="pct"/>
            <w:tcBorders>
              <w:top w:val="nil"/>
              <w:left w:val="nil"/>
              <w:bottom w:val="single" w:sz="4" w:space="0" w:color="auto"/>
              <w:right w:val="single" w:sz="4" w:space="0" w:color="auto"/>
            </w:tcBorders>
            <w:shd w:val="clear" w:color="auto" w:fill="auto"/>
            <w:noWrap/>
            <w:vAlign w:val="center"/>
            <w:hideMark/>
          </w:tcPr>
          <w:p w14:paraId="70D57BD6" w14:textId="56EC3512" w:rsidR="00FB6F77" w:rsidRPr="00FB6F77" w:rsidRDefault="00C236DB" w:rsidP="00FB6F77">
            <w:pPr>
              <w:spacing w:after="0"/>
              <w:jc w:val="center"/>
              <w:rPr>
                <w:rFonts w:cstheme="minorHAnsi"/>
              </w:rPr>
            </w:pPr>
            <w:r>
              <w:rPr>
                <w:rFonts w:cstheme="minorHAnsi"/>
              </w:rPr>
              <w:t>105</w:t>
            </w:r>
          </w:p>
        </w:tc>
        <w:tc>
          <w:tcPr>
            <w:tcW w:w="834" w:type="pct"/>
            <w:tcBorders>
              <w:top w:val="nil"/>
              <w:left w:val="nil"/>
              <w:bottom w:val="single" w:sz="4" w:space="0" w:color="auto"/>
              <w:right w:val="single" w:sz="4" w:space="0" w:color="auto"/>
            </w:tcBorders>
            <w:shd w:val="clear" w:color="auto" w:fill="auto"/>
            <w:noWrap/>
            <w:vAlign w:val="center"/>
            <w:hideMark/>
          </w:tcPr>
          <w:p w14:paraId="48FCC0B8" w14:textId="778714F8" w:rsidR="00FB6F77" w:rsidRPr="00FB6F77" w:rsidRDefault="00C236DB" w:rsidP="00FB6F77">
            <w:pPr>
              <w:spacing w:after="0"/>
              <w:jc w:val="center"/>
              <w:rPr>
                <w:rFonts w:cstheme="minorHAnsi"/>
              </w:rPr>
            </w:pPr>
            <w:r>
              <w:rPr>
                <w:rFonts w:cstheme="minorHAnsi"/>
              </w:rPr>
              <w:t>78.95</w:t>
            </w:r>
            <w:r w:rsidR="00FB6F77" w:rsidRPr="00FB6F77">
              <w:rPr>
                <w:rFonts w:cstheme="minorHAnsi"/>
              </w:rPr>
              <w:t>%</w:t>
            </w:r>
          </w:p>
        </w:tc>
      </w:tr>
    </w:tbl>
    <w:p w14:paraId="1D661736" w14:textId="77777777" w:rsidR="00B80A06" w:rsidRPr="00B80A06" w:rsidRDefault="00B80A06" w:rsidP="00B80A06">
      <w:pPr>
        <w:spacing w:after="0"/>
      </w:pPr>
    </w:p>
    <w:p w14:paraId="7095464F" w14:textId="2B5FB4B1" w:rsidR="00B80A06" w:rsidRPr="008D038D" w:rsidRDefault="00B80A06" w:rsidP="00B80A06">
      <w:pPr>
        <w:spacing w:after="0"/>
        <w:rPr>
          <w:color w:val="00B050"/>
        </w:rPr>
      </w:pPr>
      <w:r w:rsidRPr="00B80A06">
        <w:t xml:space="preserve">When analysing the results of the quartile for all employees (including those who have now exited the Trust), the female gender holds a higher percentage of employees in the upper middle, lower middle and lower quartile. Males are still represented more prominently in the upper </w:t>
      </w:r>
      <w:r w:rsidR="005829BC" w:rsidRPr="00B80A06">
        <w:t>quartile</w:t>
      </w:r>
      <w:r w:rsidR="009D23DB">
        <w:t>.</w:t>
      </w:r>
    </w:p>
    <w:p w14:paraId="6D68AD2A" w14:textId="77777777" w:rsidR="00B80A06" w:rsidRPr="00B80A06" w:rsidRDefault="00B80A06" w:rsidP="00B80A06">
      <w:pPr>
        <w:spacing w:after="0"/>
      </w:pPr>
    </w:p>
    <w:p w14:paraId="63C81699" w14:textId="7956A57A" w:rsidR="00B80A06" w:rsidRPr="00B80A06" w:rsidRDefault="00B80A06" w:rsidP="00B80A06">
      <w:pPr>
        <w:spacing w:after="0"/>
      </w:pPr>
      <w:r w:rsidRPr="00B80A06">
        <w:t xml:space="preserve">Analysing the pay </w:t>
      </w:r>
      <w:r w:rsidRPr="009D23DB">
        <w:t xml:space="preserve">band quartiles for </w:t>
      </w:r>
      <w:r w:rsidR="0051406D">
        <w:t xml:space="preserve">relevant pay </w:t>
      </w:r>
      <w:r w:rsidRPr="009D23DB">
        <w:t xml:space="preserve">employees in the Trust, females hold a higher percentage of roles in all quartiles. </w:t>
      </w:r>
      <w:r w:rsidRPr="00A71D13">
        <w:t xml:space="preserve">This is due to </w:t>
      </w:r>
      <w:r w:rsidR="00F0223A" w:rsidRPr="00A71D13">
        <w:t>89.</w:t>
      </w:r>
      <w:r w:rsidR="00A71D13" w:rsidRPr="00A71D13">
        <w:t>99</w:t>
      </w:r>
      <w:r w:rsidRPr="00A71D13">
        <w:t xml:space="preserve">% of the Trust staff being female compared to </w:t>
      </w:r>
      <w:r w:rsidR="00F0223A" w:rsidRPr="00A71D13">
        <w:t>10.</w:t>
      </w:r>
      <w:r w:rsidR="00A71D13" w:rsidRPr="00A71D13">
        <w:t>01</w:t>
      </w:r>
      <w:r w:rsidRPr="00A71D13">
        <w:t>% being male.</w:t>
      </w:r>
      <w:r w:rsidRPr="00B80A06">
        <w:t xml:space="preserve"> </w:t>
      </w:r>
    </w:p>
    <w:p w14:paraId="0E17CC9E" w14:textId="77777777" w:rsidR="00B80A06" w:rsidRPr="00B80A06" w:rsidRDefault="00B80A06" w:rsidP="00B80A06">
      <w:pPr>
        <w:spacing w:after="0"/>
      </w:pPr>
    </w:p>
    <w:p w14:paraId="5075A6BF" w14:textId="77777777" w:rsidR="006D79B1" w:rsidRDefault="006D79B1" w:rsidP="00B80A06">
      <w:pPr>
        <w:pStyle w:val="Heading1"/>
      </w:pPr>
      <w:bookmarkStart w:id="15" w:name="_Toc69989922"/>
      <w:bookmarkStart w:id="16" w:name="_Toc83366753"/>
      <w:bookmarkStart w:id="17" w:name="_Toc83970644"/>
    </w:p>
    <w:p w14:paraId="06934502" w14:textId="77777777" w:rsidR="006D79B1" w:rsidRDefault="006D79B1" w:rsidP="00B80A06">
      <w:pPr>
        <w:pStyle w:val="Heading1"/>
      </w:pPr>
      <w:bookmarkStart w:id="18" w:name="_GoBack"/>
      <w:bookmarkEnd w:id="18"/>
    </w:p>
    <w:bookmarkEnd w:id="15"/>
    <w:bookmarkEnd w:id="16"/>
    <w:bookmarkEnd w:id="17"/>
    <w:sectPr w:rsidR="006D79B1" w:rsidSect="002600EF">
      <w:headerReference w:type="default" r:id="rId15"/>
      <w:footerReference w:type="default" r:id="rId16"/>
      <w:pgSz w:w="11906" w:h="16838"/>
      <w:pgMar w:top="1440" w:right="1274" w:bottom="1440"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AAEAB" w14:textId="77777777" w:rsidR="00BA0547" w:rsidRDefault="00BA0547" w:rsidP="00663314">
      <w:pPr>
        <w:spacing w:after="0" w:line="240" w:lineRule="auto"/>
      </w:pPr>
      <w:r>
        <w:separator/>
      </w:r>
    </w:p>
  </w:endnote>
  <w:endnote w:type="continuationSeparator" w:id="0">
    <w:p w14:paraId="2BBEC8B6" w14:textId="77777777" w:rsidR="00BA0547" w:rsidRDefault="00BA0547" w:rsidP="00663314">
      <w:pPr>
        <w:spacing w:after="0" w:line="240" w:lineRule="auto"/>
      </w:pPr>
      <w:r>
        <w:continuationSeparator/>
      </w:r>
    </w:p>
  </w:endnote>
  <w:endnote w:type="continuationNotice" w:id="1">
    <w:p w14:paraId="52B02EC7" w14:textId="77777777" w:rsidR="00BA0547" w:rsidRDefault="00BA0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078540"/>
      <w:docPartObj>
        <w:docPartGallery w:val="Page Numbers (Bottom of Page)"/>
        <w:docPartUnique/>
      </w:docPartObj>
    </w:sdtPr>
    <w:sdtEndPr>
      <w:rPr>
        <w:noProof/>
      </w:rPr>
    </w:sdtEndPr>
    <w:sdtContent>
      <w:p w14:paraId="2DAA860A" w14:textId="08B45EE4" w:rsidR="00BA0547" w:rsidRDefault="00BA0547">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01E4EFF3" w14:textId="77777777" w:rsidR="00BA0547" w:rsidRDefault="00BA0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3A7F" w14:textId="77777777" w:rsidR="00BA0547" w:rsidRDefault="00BA0547" w:rsidP="00663314">
      <w:pPr>
        <w:spacing w:after="0" w:line="240" w:lineRule="auto"/>
      </w:pPr>
      <w:r>
        <w:separator/>
      </w:r>
    </w:p>
  </w:footnote>
  <w:footnote w:type="continuationSeparator" w:id="0">
    <w:p w14:paraId="1DE0A202" w14:textId="77777777" w:rsidR="00BA0547" w:rsidRDefault="00BA0547" w:rsidP="00663314">
      <w:pPr>
        <w:spacing w:after="0" w:line="240" w:lineRule="auto"/>
      </w:pPr>
      <w:r>
        <w:continuationSeparator/>
      </w:r>
    </w:p>
  </w:footnote>
  <w:footnote w:type="continuationNotice" w:id="1">
    <w:p w14:paraId="087B8A72" w14:textId="77777777" w:rsidR="00BA0547" w:rsidRDefault="00BA0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70" w:type="pct"/>
      <w:tblInd w:w="-709"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251"/>
    </w:tblGrid>
    <w:tr w:rsidR="00BA0547" w14:paraId="16110057" w14:textId="77777777" w:rsidTr="000A46B0">
      <w:trPr>
        <w:trHeight w:val="417"/>
      </w:trPr>
      <w:tc>
        <w:tcPr>
          <w:tcW w:w="9252" w:type="dxa"/>
        </w:tcPr>
        <w:p w14:paraId="1613F0FE" w14:textId="35042DFE" w:rsidR="00BA0547" w:rsidRPr="00376202" w:rsidRDefault="00BA0547" w:rsidP="00EE4DBB">
          <w:pPr>
            <w:textAlignment w:val="baseline"/>
            <w:rPr>
              <w:rFonts w:cstheme="minorHAnsi"/>
              <w:b/>
              <w:bCs/>
            </w:rPr>
          </w:pPr>
          <w:r>
            <w:rPr>
              <w:rFonts w:cstheme="minorHAnsi"/>
              <w:b/>
              <w:bCs/>
            </w:rPr>
            <w:t>Gender Pay Gap Analysis 2023/24</w:t>
          </w:r>
        </w:p>
      </w:tc>
    </w:tr>
  </w:tbl>
  <w:p w14:paraId="2546C8B2" w14:textId="7F195032" w:rsidR="00BA0547" w:rsidRPr="00994EC3" w:rsidRDefault="00BA0547" w:rsidP="00EE4DBB">
    <w:pPr>
      <w:pStyle w:val="Header"/>
      <w:rPr>
        <w:rFonts w:ascii="Comic Sans MS" w:hAnsi="Comic Sans MS"/>
        <w:sz w:val="28"/>
      </w:rPr>
    </w:pPr>
    <w:r>
      <w:rPr>
        <w:noProof/>
        <w:lang w:eastAsia="en-GB"/>
      </w:rPr>
      <w:drawing>
        <wp:anchor distT="0" distB="0" distL="114300" distR="114300" simplePos="0" relativeHeight="251659264" behindDoc="1" locked="0" layoutInCell="1" allowOverlap="1" wp14:anchorId="169DA04D" wp14:editId="381B65EB">
          <wp:simplePos x="0" y="0"/>
          <wp:positionH relativeFrom="page">
            <wp:posOffset>6172835</wp:posOffset>
          </wp:positionH>
          <wp:positionV relativeFrom="page">
            <wp:posOffset>147955</wp:posOffset>
          </wp:positionV>
          <wp:extent cx="1085850" cy="1160145"/>
          <wp:effectExtent l="0" t="0" r="6350"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p w14:paraId="278E2C42" w14:textId="77777777" w:rsidR="00BA0547" w:rsidRPr="00BE46BA" w:rsidRDefault="00BA0547" w:rsidP="00EE4DBB">
    <w:pPr>
      <w:pStyle w:val="Header"/>
      <w:rPr>
        <w:rFonts w:ascii="Comic Sans MS" w:hAnsi="Comic Sans MS"/>
      </w:rPr>
    </w:pPr>
  </w:p>
  <w:p w14:paraId="1444A06B" w14:textId="77777777" w:rsidR="00BA0547" w:rsidRDefault="00BA0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10AE1"/>
    <w:multiLevelType w:val="hybridMultilevel"/>
    <w:tmpl w:val="324A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B3"/>
    <w:rsid w:val="00000037"/>
    <w:rsid w:val="00006785"/>
    <w:rsid w:val="000123A6"/>
    <w:rsid w:val="00030C42"/>
    <w:rsid w:val="000374B2"/>
    <w:rsid w:val="00047678"/>
    <w:rsid w:val="000532B2"/>
    <w:rsid w:val="00072575"/>
    <w:rsid w:val="000A46B0"/>
    <w:rsid w:val="000A79F7"/>
    <w:rsid w:val="000B0FEB"/>
    <w:rsid w:val="000B4904"/>
    <w:rsid w:val="000B4D8E"/>
    <w:rsid w:val="000C3F82"/>
    <w:rsid w:val="000C423B"/>
    <w:rsid w:val="000E658A"/>
    <w:rsid w:val="000F1BC1"/>
    <w:rsid w:val="000F6F37"/>
    <w:rsid w:val="001248D0"/>
    <w:rsid w:val="00145DBF"/>
    <w:rsid w:val="00161475"/>
    <w:rsid w:val="00162455"/>
    <w:rsid w:val="001666BE"/>
    <w:rsid w:val="00174272"/>
    <w:rsid w:val="00190A3A"/>
    <w:rsid w:val="00192751"/>
    <w:rsid w:val="001A2F20"/>
    <w:rsid w:val="001B097B"/>
    <w:rsid w:val="001C0E55"/>
    <w:rsid w:val="001E5E98"/>
    <w:rsid w:val="001F4A28"/>
    <w:rsid w:val="00201777"/>
    <w:rsid w:val="00201B9D"/>
    <w:rsid w:val="002056E0"/>
    <w:rsid w:val="00206029"/>
    <w:rsid w:val="002078D3"/>
    <w:rsid w:val="002408D1"/>
    <w:rsid w:val="00244E70"/>
    <w:rsid w:val="002600EF"/>
    <w:rsid w:val="00271804"/>
    <w:rsid w:val="00277315"/>
    <w:rsid w:val="002775A4"/>
    <w:rsid w:val="002807F7"/>
    <w:rsid w:val="00294D82"/>
    <w:rsid w:val="002A2955"/>
    <w:rsid w:val="002B197C"/>
    <w:rsid w:val="002C0936"/>
    <w:rsid w:val="002C46A7"/>
    <w:rsid w:val="002C76B0"/>
    <w:rsid w:val="002D1E91"/>
    <w:rsid w:val="002F2DA4"/>
    <w:rsid w:val="002F4398"/>
    <w:rsid w:val="002F53A7"/>
    <w:rsid w:val="00320A61"/>
    <w:rsid w:val="0033259F"/>
    <w:rsid w:val="00344BDF"/>
    <w:rsid w:val="00351E65"/>
    <w:rsid w:val="00362B4C"/>
    <w:rsid w:val="003640A9"/>
    <w:rsid w:val="003A1804"/>
    <w:rsid w:val="003D5483"/>
    <w:rsid w:val="003D6F15"/>
    <w:rsid w:val="00421531"/>
    <w:rsid w:val="00445968"/>
    <w:rsid w:val="00463765"/>
    <w:rsid w:val="00476E8E"/>
    <w:rsid w:val="00481D19"/>
    <w:rsid w:val="004864C4"/>
    <w:rsid w:val="004C2074"/>
    <w:rsid w:val="004C371E"/>
    <w:rsid w:val="004E10CE"/>
    <w:rsid w:val="004E4B44"/>
    <w:rsid w:val="004E6FD0"/>
    <w:rsid w:val="0050787D"/>
    <w:rsid w:val="0051406D"/>
    <w:rsid w:val="0052135C"/>
    <w:rsid w:val="00557760"/>
    <w:rsid w:val="005638AB"/>
    <w:rsid w:val="005757A8"/>
    <w:rsid w:val="005772DD"/>
    <w:rsid w:val="005829BC"/>
    <w:rsid w:val="00585027"/>
    <w:rsid w:val="005B7B6D"/>
    <w:rsid w:val="005C546C"/>
    <w:rsid w:val="005E3B9D"/>
    <w:rsid w:val="005F72DB"/>
    <w:rsid w:val="0061235A"/>
    <w:rsid w:val="0061700F"/>
    <w:rsid w:val="00625649"/>
    <w:rsid w:val="00625E2A"/>
    <w:rsid w:val="0063081C"/>
    <w:rsid w:val="00631CC5"/>
    <w:rsid w:val="00646B48"/>
    <w:rsid w:val="00656D86"/>
    <w:rsid w:val="00663314"/>
    <w:rsid w:val="00670B2C"/>
    <w:rsid w:val="00677A97"/>
    <w:rsid w:val="006A6E54"/>
    <w:rsid w:val="006C53BB"/>
    <w:rsid w:val="006C5A07"/>
    <w:rsid w:val="006D79B1"/>
    <w:rsid w:val="006D7E25"/>
    <w:rsid w:val="006F6CDE"/>
    <w:rsid w:val="007056E8"/>
    <w:rsid w:val="0071481C"/>
    <w:rsid w:val="00714ECE"/>
    <w:rsid w:val="007174BA"/>
    <w:rsid w:val="0074216D"/>
    <w:rsid w:val="0074441F"/>
    <w:rsid w:val="007571FA"/>
    <w:rsid w:val="00775D8D"/>
    <w:rsid w:val="00775FEA"/>
    <w:rsid w:val="00781E84"/>
    <w:rsid w:val="0079591C"/>
    <w:rsid w:val="007A2C7A"/>
    <w:rsid w:val="007B235B"/>
    <w:rsid w:val="007C1C94"/>
    <w:rsid w:val="007C4508"/>
    <w:rsid w:val="008263B3"/>
    <w:rsid w:val="00827AD5"/>
    <w:rsid w:val="00830FA7"/>
    <w:rsid w:val="00831B05"/>
    <w:rsid w:val="008335A9"/>
    <w:rsid w:val="00833D1F"/>
    <w:rsid w:val="00855CC1"/>
    <w:rsid w:val="008605B2"/>
    <w:rsid w:val="00865420"/>
    <w:rsid w:val="0087091C"/>
    <w:rsid w:val="008A423C"/>
    <w:rsid w:val="008B3253"/>
    <w:rsid w:val="008C5E9B"/>
    <w:rsid w:val="008D038D"/>
    <w:rsid w:val="008F64D5"/>
    <w:rsid w:val="00906956"/>
    <w:rsid w:val="0091667E"/>
    <w:rsid w:val="00916DD6"/>
    <w:rsid w:val="00925A64"/>
    <w:rsid w:val="00934173"/>
    <w:rsid w:val="009468FD"/>
    <w:rsid w:val="00946CF5"/>
    <w:rsid w:val="009505E2"/>
    <w:rsid w:val="009549E2"/>
    <w:rsid w:val="0098756A"/>
    <w:rsid w:val="00994D41"/>
    <w:rsid w:val="009B0279"/>
    <w:rsid w:val="009B7A1E"/>
    <w:rsid w:val="009D23DB"/>
    <w:rsid w:val="009D694D"/>
    <w:rsid w:val="009E25BE"/>
    <w:rsid w:val="009F5300"/>
    <w:rsid w:val="00A12DE6"/>
    <w:rsid w:val="00A6223A"/>
    <w:rsid w:val="00A71D13"/>
    <w:rsid w:val="00A8054E"/>
    <w:rsid w:val="00AB3A6B"/>
    <w:rsid w:val="00AC1832"/>
    <w:rsid w:val="00AD5223"/>
    <w:rsid w:val="00AE45BB"/>
    <w:rsid w:val="00AF0794"/>
    <w:rsid w:val="00B346A4"/>
    <w:rsid w:val="00B4087C"/>
    <w:rsid w:val="00B5268C"/>
    <w:rsid w:val="00B65F88"/>
    <w:rsid w:val="00B6768F"/>
    <w:rsid w:val="00B72E48"/>
    <w:rsid w:val="00B74E6E"/>
    <w:rsid w:val="00B80A06"/>
    <w:rsid w:val="00B80DE4"/>
    <w:rsid w:val="00BA0547"/>
    <w:rsid w:val="00BA4F25"/>
    <w:rsid w:val="00BE4D1C"/>
    <w:rsid w:val="00C02207"/>
    <w:rsid w:val="00C11C7E"/>
    <w:rsid w:val="00C13C80"/>
    <w:rsid w:val="00C236DB"/>
    <w:rsid w:val="00C27C30"/>
    <w:rsid w:val="00C60D50"/>
    <w:rsid w:val="00C70339"/>
    <w:rsid w:val="00C800EB"/>
    <w:rsid w:val="00C86CF3"/>
    <w:rsid w:val="00CA4655"/>
    <w:rsid w:val="00CD552C"/>
    <w:rsid w:val="00CF2635"/>
    <w:rsid w:val="00D05750"/>
    <w:rsid w:val="00D10BD9"/>
    <w:rsid w:val="00D12168"/>
    <w:rsid w:val="00D1636D"/>
    <w:rsid w:val="00D317EC"/>
    <w:rsid w:val="00D835E0"/>
    <w:rsid w:val="00D95F3C"/>
    <w:rsid w:val="00DA5B82"/>
    <w:rsid w:val="00DB2AA8"/>
    <w:rsid w:val="00DC1D0C"/>
    <w:rsid w:val="00DD366A"/>
    <w:rsid w:val="00DF2B67"/>
    <w:rsid w:val="00E071F3"/>
    <w:rsid w:val="00E210C1"/>
    <w:rsid w:val="00E224A8"/>
    <w:rsid w:val="00E46E2F"/>
    <w:rsid w:val="00E649FC"/>
    <w:rsid w:val="00E7004F"/>
    <w:rsid w:val="00E86D7E"/>
    <w:rsid w:val="00E9140E"/>
    <w:rsid w:val="00E95034"/>
    <w:rsid w:val="00EA31D3"/>
    <w:rsid w:val="00EA662F"/>
    <w:rsid w:val="00EC06BC"/>
    <w:rsid w:val="00EC63B1"/>
    <w:rsid w:val="00ED0887"/>
    <w:rsid w:val="00ED64FB"/>
    <w:rsid w:val="00EE4DBB"/>
    <w:rsid w:val="00EF37B8"/>
    <w:rsid w:val="00F0223A"/>
    <w:rsid w:val="00F25D64"/>
    <w:rsid w:val="00F36FB0"/>
    <w:rsid w:val="00F410A4"/>
    <w:rsid w:val="00F41651"/>
    <w:rsid w:val="00F5270B"/>
    <w:rsid w:val="00F83771"/>
    <w:rsid w:val="00F95243"/>
    <w:rsid w:val="00F95936"/>
    <w:rsid w:val="00FA6691"/>
    <w:rsid w:val="00FB2AAF"/>
    <w:rsid w:val="00FB6F77"/>
    <w:rsid w:val="00FC6054"/>
    <w:rsid w:val="00FD5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3090D0"/>
  <w15:chartTrackingRefBased/>
  <w15:docId w15:val="{428B49F9-1CF7-4C4D-8CBC-6AA3B7E9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A06"/>
    <w:pPr>
      <w:spacing w:after="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3B3"/>
    <w:pPr>
      <w:ind w:left="720"/>
      <w:contextualSpacing/>
    </w:pPr>
  </w:style>
  <w:style w:type="paragraph" w:styleId="NormalWeb">
    <w:name w:val="Normal (Web)"/>
    <w:basedOn w:val="Normal"/>
    <w:uiPriority w:val="99"/>
    <w:rsid w:val="008263B3"/>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rsid w:val="008263B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rsid w:val="008263B3"/>
    <w:rPr>
      <w:color w:val="0563C1" w:themeColor="hyperlink"/>
      <w:u w:val="single"/>
    </w:rPr>
  </w:style>
  <w:style w:type="character" w:customStyle="1" w:styleId="legds">
    <w:name w:val="legds"/>
    <w:basedOn w:val="DefaultParagraphFont"/>
    <w:rsid w:val="008263B3"/>
  </w:style>
  <w:style w:type="paragraph" w:styleId="Header">
    <w:name w:val="header"/>
    <w:basedOn w:val="Normal"/>
    <w:link w:val="HeaderChar"/>
    <w:uiPriority w:val="99"/>
    <w:unhideWhenUsed/>
    <w:rsid w:val="00826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3B3"/>
  </w:style>
  <w:style w:type="paragraph" w:styleId="Footer">
    <w:name w:val="footer"/>
    <w:basedOn w:val="Normal"/>
    <w:link w:val="FooterChar"/>
    <w:uiPriority w:val="99"/>
    <w:unhideWhenUsed/>
    <w:rsid w:val="00826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3B3"/>
  </w:style>
  <w:style w:type="paragraph" w:styleId="NoSpacing">
    <w:name w:val="No Spacing"/>
    <w:uiPriority w:val="1"/>
    <w:qFormat/>
    <w:rsid w:val="009468FD"/>
    <w:pPr>
      <w:spacing w:after="0" w:line="240" w:lineRule="auto"/>
    </w:pPr>
  </w:style>
  <w:style w:type="table" w:customStyle="1" w:styleId="TableGrid0">
    <w:name w:val="TableGrid"/>
    <w:rsid w:val="009468F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80A06"/>
    <w:rPr>
      <w:b/>
      <w:bCs/>
    </w:rPr>
  </w:style>
  <w:style w:type="table" w:customStyle="1" w:styleId="AskEd">
    <w:name w:val="AskEd"/>
    <w:basedOn w:val="TableNormal"/>
    <w:uiPriority w:val="99"/>
    <w:rsid w:val="00B80A06"/>
    <w:pPr>
      <w:spacing w:after="0" w:line="240" w:lineRule="auto"/>
      <w:jc w:val="center"/>
    </w:pPr>
    <w:rPr>
      <w:rFonts w:ascii="Calibri" w:eastAsia="Times New Roman" w:hAnsi="Calibri" w:cs="Times New Roman"/>
      <w:szCs w:val="20"/>
    </w:rPr>
    <w:tblPr>
      <w:tblStyleRowBandSize w:val="1"/>
      <w:tblInd w:w="0" w:type="nil"/>
      <w:tblBorders>
        <w:insideH w:val="single" w:sz="4" w:space="0" w:color="auto"/>
        <w:insideV w:val="single" w:sz="4" w:space="0" w:color="auto"/>
      </w:tblBorders>
    </w:tblPr>
    <w:tcPr>
      <w:vAlign w:val="center"/>
    </w:tcPr>
    <w:tblStylePr w:type="firstRow">
      <w:pPr>
        <w:jc w:val="center"/>
      </w:pPr>
      <w:rPr>
        <w:rFonts w:asciiTheme="minorHAnsi" w:hAnsiTheme="minorHAnsi" w:cs="Calibri" w:hint="default"/>
        <w:b/>
        <w:color w:val="000000" w:themeColor="text1"/>
        <w:sz w:val="22"/>
        <w:szCs w:val="22"/>
      </w:rPr>
      <w:tblPr/>
      <w:tcPr>
        <w:shd w:val="clear" w:color="auto" w:fill="BFBFBF" w:themeFill="background1" w:themeFillShade="BF"/>
        <w:vAlign w:val="center"/>
      </w:tcPr>
    </w:tblStylePr>
    <w:tblStylePr w:type="firstCol">
      <w:pPr>
        <w:jc w:val="left"/>
      </w:pPr>
      <w:rPr>
        <w:rFonts w:asciiTheme="minorHAnsi" w:hAnsiTheme="minorHAnsi" w:cs="Calibri" w:hint="default"/>
        <w:b/>
        <w:sz w:val="22"/>
        <w:szCs w:val="22"/>
      </w:rPr>
      <w:tblPr/>
      <w:tcPr>
        <w:tcBorders>
          <w:top w:val="nil"/>
          <w:left w:val="nil"/>
          <w:bottom w:val="nil"/>
          <w:right w:val="nil"/>
          <w:insideH w:val="nil"/>
          <w:insideV w:val="nil"/>
          <w:tl2br w:val="nil"/>
          <w:tr2bl w:val="nil"/>
        </w:tcBorders>
      </w:tcPr>
    </w:tblStylePr>
    <w:tblStylePr w:type="band1Horz">
      <w:tblPr/>
      <w:tcPr>
        <w:shd w:val="clear" w:color="auto" w:fill="F2F2F2" w:themeFill="background1" w:themeFillShade="F2"/>
      </w:tcPr>
    </w:tblStylePr>
    <w:tblStylePr w:type="band2Horz">
      <w:pPr>
        <w:jc w:val="center"/>
      </w:pPr>
      <w:tblPr/>
      <w:tcPr>
        <w:shd w:val="clear" w:color="auto" w:fill="BFBFBF" w:themeFill="background1" w:themeFillShade="BF"/>
        <w:vAlign w:val="center"/>
      </w:tcPr>
    </w:tblStylePr>
  </w:style>
  <w:style w:type="paragraph" w:styleId="TOCHeading">
    <w:name w:val="TOC Heading"/>
    <w:basedOn w:val="Heading1"/>
    <w:next w:val="Normal"/>
    <w:uiPriority w:val="39"/>
    <w:unhideWhenUsed/>
    <w:qFormat/>
    <w:rsid w:val="00B80A06"/>
    <w:pPr>
      <w:keepNext/>
      <w:keepLines/>
      <w:spacing w:before="24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B80A06"/>
    <w:pPr>
      <w:spacing w:after="100"/>
    </w:pPr>
  </w:style>
  <w:style w:type="paragraph" w:styleId="BalloonText">
    <w:name w:val="Balloon Text"/>
    <w:basedOn w:val="Normal"/>
    <w:link w:val="BalloonTextChar"/>
    <w:uiPriority w:val="99"/>
    <w:semiHidden/>
    <w:unhideWhenUsed/>
    <w:rsid w:val="0020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7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075753">
      <w:bodyDiv w:val="1"/>
      <w:marLeft w:val="0"/>
      <w:marRight w:val="0"/>
      <w:marTop w:val="0"/>
      <w:marBottom w:val="0"/>
      <w:divBdr>
        <w:top w:val="none" w:sz="0" w:space="0" w:color="auto"/>
        <w:left w:val="none" w:sz="0" w:space="0" w:color="auto"/>
        <w:bottom w:val="none" w:sz="0" w:space="0" w:color="auto"/>
        <w:right w:val="none" w:sz="0" w:space="0" w:color="auto"/>
      </w:divBdr>
    </w:div>
    <w:div w:id="1193953810">
      <w:bodyDiv w:val="1"/>
      <w:marLeft w:val="0"/>
      <w:marRight w:val="0"/>
      <w:marTop w:val="0"/>
      <w:marBottom w:val="0"/>
      <w:divBdr>
        <w:top w:val="none" w:sz="0" w:space="0" w:color="auto"/>
        <w:left w:val="none" w:sz="0" w:space="0" w:color="auto"/>
        <w:bottom w:val="none" w:sz="0" w:space="0" w:color="auto"/>
        <w:right w:val="none" w:sz="0" w:space="0" w:color="auto"/>
      </w:divBdr>
    </w:div>
    <w:div w:id="1517964032">
      <w:bodyDiv w:val="1"/>
      <w:marLeft w:val="0"/>
      <w:marRight w:val="0"/>
      <w:marTop w:val="0"/>
      <w:marBottom w:val="0"/>
      <w:divBdr>
        <w:top w:val="none" w:sz="0" w:space="0" w:color="auto"/>
        <w:left w:val="none" w:sz="0" w:space="0" w:color="auto"/>
        <w:bottom w:val="none" w:sz="0" w:space="0" w:color="auto"/>
        <w:right w:val="none" w:sz="0" w:space="0" w:color="auto"/>
      </w:divBdr>
    </w:div>
    <w:div w:id="1687440778">
      <w:bodyDiv w:val="1"/>
      <w:marLeft w:val="0"/>
      <w:marRight w:val="0"/>
      <w:marTop w:val="0"/>
      <w:marBottom w:val="0"/>
      <w:divBdr>
        <w:top w:val="none" w:sz="0" w:space="0" w:color="auto"/>
        <w:left w:val="none" w:sz="0" w:space="0" w:color="auto"/>
        <w:bottom w:val="none" w:sz="0" w:space="0" w:color="auto"/>
        <w:right w:val="none" w:sz="0" w:space="0" w:color="auto"/>
      </w:divBdr>
    </w:div>
    <w:div w:id="1955362372">
      <w:bodyDiv w:val="1"/>
      <w:marLeft w:val="0"/>
      <w:marRight w:val="0"/>
      <w:marTop w:val="0"/>
      <w:marBottom w:val="0"/>
      <w:divBdr>
        <w:top w:val="none" w:sz="0" w:space="0" w:color="auto"/>
        <w:left w:val="none" w:sz="0" w:space="0" w:color="auto"/>
        <w:bottom w:val="none" w:sz="0" w:space="0" w:color="auto"/>
        <w:right w:val="none" w:sz="0" w:space="0" w:color="auto"/>
      </w:divBdr>
    </w:div>
    <w:div w:id="21461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the-gender-pay-gap-data-you-must-gath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as.org.uk/index.aspx?articleid=576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the-gender-pay-gap-data-you-must-gath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a62be-7087-46cc-a14c-f7b094d559d3">
      <Terms xmlns="http://schemas.microsoft.com/office/infopath/2007/PartnerControls"/>
    </lcf76f155ced4ddcb4097134ff3c332f>
    <TaxCatchAll xmlns="e2072983-3ba8-4704-8683-7731e8abbf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1C482072976448B78983AF8981B40" ma:contentTypeVersion="18" ma:contentTypeDescription="Create a new document." ma:contentTypeScope="" ma:versionID="77cbea7d9ceff2077cb063422dbb2258">
  <xsd:schema xmlns:xsd="http://www.w3.org/2001/XMLSchema" xmlns:xs="http://www.w3.org/2001/XMLSchema" xmlns:p="http://schemas.microsoft.com/office/2006/metadata/properties" xmlns:ns2="44da62be-7087-46cc-a14c-f7b094d559d3" xmlns:ns3="e2072983-3ba8-4704-8683-7731e8abbfe4" targetNamespace="http://schemas.microsoft.com/office/2006/metadata/properties" ma:root="true" ma:fieldsID="8f29cafa86e07d3781b29213f2062aaf" ns2:_="" ns3:_="">
    <xsd:import namespace="44da62be-7087-46cc-a14c-f7b094d559d3"/>
    <xsd:import namespace="e2072983-3ba8-4704-8683-7731e8abb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62be-7087-46cc-a14c-f7b094d5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72983-3ba8-4704-8683-7731e8abbf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4d46f-ba9d-4ad3-96cc-43b6c18795c0}" ma:internalName="TaxCatchAll" ma:showField="CatchAllData" ma:web="e2072983-3ba8-4704-8683-7731e8abb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AA4D5-7EAA-4F5C-99EA-B9621F6BE016}">
  <ds:schemaRefs>
    <ds:schemaRef ds:uri="http://schemas.microsoft.com/sharepoint/v3/contenttype/forms"/>
  </ds:schemaRefs>
</ds:datastoreItem>
</file>

<file path=customXml/itemProps2.xml><?xml version="1.0" encoding="utf-8"?>
<ds:datastoreItem xmlns:ds="http://schemas.openxmlformats.org/officeDocument/2006/customXml" ds:itemID="{4000C123-6E6E-400E-B9CE-93B3298BFF4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2072983-3ba8-4704-8683-7731e8abbfe4"/>
    <ds:schemaRef ds:uri="44da62be-7087-46cc-a14c-f7b094d559d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4EA15F-AE18-4611-BB94-1D00B6BB8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a62be-7087-46cc-a14c-f7b094d559d3"/>
    <ds:schemaRef ds:uri="e2072983-3ba8-4704-8683-7731e8abb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37255-36C8-4154-9EF2-DE07CF10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FusionHR</dc:creator>
  <cp:keywords/>
  <dc:description/>
  <cp:lastModifiedBy>Lisa Hutton</cp:lastModifiedBy>
  <cp:revision>4</cp:revision>
  <cp:lastPrinted>2024-03-07T20:19:00Z</cp:lastPrinted>
  <dcterms:created xsi:type="dcterms:W3CDTF">2025-02-19T10:15:00Z</dcterms:created>
  <dcterms:modified xsi:type="dcterms:W3CDTF">2025-03-21T18:40:00Z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0x010100D3C1C482072976448B78983AF8981B40</vt:lpwstr>
  </property>
  <property fmtid="{D5CDD505-2E9C-101B-9397-08002B2CF9AE}" pid="3" name="MediaServiceImageTags">
    <vt:lpwstr/>
  </property>
</Properties>
</file>